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/>
        <w:rPr>
          <w:rFonts w:ascii="Times New Roman"/>
          <w:sz w:val="20"/>
        </w:rPr>
      </w:pPr>
    </w:p>
    <w:p>
      <w:pPr>
        <w:pStyle w:val="2"/>
        <w:ind w:left="0"/>
        <w:rPr>
          <w:rFonts w:ascii="Times New Roman"/>
          <w:sz w:val="20"/>
        </w:rPr>
      </w:pPr>
    </w:p>
    <w:p>
      <w:pPr>
        <w:pStyle w:val="3"/>
        <w:bidi w:val="0"/>
        <w:ind w:left="0" w:leftChars="0" w:firstLine="0" w:firstLineChars="0"/>
        <w:jc w:val="center"/>
        <w:rPr>
          <w:rFonts w:hint="eastAsia"/>
        </w:rPr>
      </w:pPr>
      <w:r>
        <w:rPr>
          <w:rFonts w:hint="eastAsia"/>
        </w:rPr>
        <w:t>关于实用新型专利保护客体判断的指引</w:t>
      </w:r>
    </w:p>
    <w:p>
      <w:pPr>
        <w:pStyle w:val="3"/>
        <w:bidi w:val="0"/>
        <w:ind w:left="0" w:leftChars="0" w:firstLine="0" w:firstLineChars="0"/>
        <w:jc w:val="center"/>
        <w:rPr>
          <w:rFonts w:hint="eastAsia"/>
        </w:rPr>
      </w:pPr>
    </w:p>
    <w:p>
      <w:pPr>
        <w:pStyle w:val="3"/>
        <w:bidi w:val="0"/>
        <w:ind w:left="0" w:leftChars="0" w:firstLine="0" w:firstLineChars="0"/>
        <w:jc w:val="center"/>
        <w:rPr>
          <w:rFonts w:hint="eastAsia"/>
        </w:rPr>
      </w:pPr>
    </w:p>
    <w:p>
      <w:pPr>
        <w:pStyle w:val="2"/>
        <w:spacing w:before="3"/>
        <w:ind w:left="0"/>
        <w:rPr>
          <w:rFonts w:hint="eastAsia" w:ascii="宋体" w:hAnsi="宋体" w:eastAsia="宋体" w:cs="宋体"/>
          <w:sz w:val="28"/>
          <w:szCs w:val="28"/>
        </w:rPr>
      </w:pPr>
      <w:bookmarkStart w:id="0" w:name="_GoBack"/>
      <w:bookmarkEnd w:id="0"/>
    </w:p>
    <w:p>
      <w:pPr>
        <w:pStyle w:val="2"/>
        <w:spacing w:line="328" w:lineRule="auto"/>
        <w:ind w:right="266" w:firstLine="6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7"/>
          <w:sz w:val="28"/>
          <w:szCs w:val="28"/>
        </w:rPr>
        <w:t>实用新型专利是我国三种专利类型之一，与发明专利、外观</w:t>
      </w:r>
      <w:r>
        <w:rPr>
          <w:rFonts w:hint="eastAsia" w:ascii="宋体" w:hAnsi="宋体" w:eastAsia="宋体" w:cs="宋体"/>
          <w:spacing w:val="-5"/>
          <w:sz w:val="28"/>
          <w:szCs w:val="28"/>
        </w:rPr>
        <w:t>设计专利共同为广大创新主体提供有效的创新成果保护路径。实</w:t>
      </w:r>
      <w:r>
        <w:rPr>
          <w:rFonts w:hint="eastAsia" w:ascii="宋体" w:hAnsi="宋体" w:eastAsia="宋体" w:cs="宋体"/>
          <w:sz w:val="28"/>
          <w:szCs w:val="28"/>
        </w:rPr>
        <w:t>用新型专利保护客体的判断是实用新型专利申请和审查实践中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2"/>
          <w:sz w:val="28"/>
          <w:szCs w:val="28"/>
        </w:rPr>
        <w:t>的重要内容。本指引旨在梳理实用新型专利保护客体的相关规定</w:t>
      </w:r>
      <w:r>
        <w:rPr>
          <w:rFonts w:hint="eastAsia" w:ascii="宋体" w:hAnsi="宋体" w:eastAsia="宋体" w:cs="宋体"/>
          <w:w w:val="95"/>
          <w:sz w:val="28"/>
          <w:szCs w:val="28"/>
        </w:rPr>
        <w:t>和示例，引导创新主体准确理解实用新型专利保护客体的边界，</w:t>
      </w:r>
      <w:r>
        <w:rPr>
          <w:rFonts w:hint="eastAsia" w:ascii="宋体" w:hAnsi="宋体" w:eastAsia="宋体" w:cs="宋体"/>
          <w:spacing w:val="25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6"/>
          <w:sz w:val="28"/>
          <w:szCs w:val="28"/>
        </w:rPr>
        <w:t>促进实用新型专利申请撰写和答复质量的提高，推动实用新型专</w:t>
      </w:r>
      <w:r>
        <w:rPr>
          <w:rFonts w:hint="eastAsia" w:ascii="宋体" w:hAnsi="宋体" w:eastAsia="宋体" w:cs="宋体"/>
          <w:sz w:val="28"/>
          <w:szCs w:val="28"/>
        </w:rPr>
        <w:t>利制度高质量发展。</w:t>
      </w:r>
    </w:p>
    <w:p>
      <w:pPr>
        <w:pStyle w:val="2"/>
        <w:spacing w:line="400" w:lineRule="exact"/>
        <w:ind w:left="747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一、实用新型专利保护客体的相关要求及判断要素</w:t>
      </w:r>
    </w:p>
    <w:p>
      <w:pPr>
        <w:pStyle w:val="2"/>
        <w:spacing w:before="149" w:line="326" w:lineRule="auto"/>
        <w:ind w:right="264" w:firstLine="6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w w:val="95"/>
          <w:sz w:val="28"/>
          <w:szCs w:val="28"/>
        </w:rPr>
        <w:t>专利法第二条第三款规定，实用新型，是指对产品的形状、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构造或者其结合所提出的适于实用的新的技术方案。</w:t>
      </w:r>
    </w:p>
    <w:p>
      <w:pPr>
        <w:pStyle w:val="2"/>
        <w:spacing w:before="6" w:line="328" w:lineRule="auto"/>
        <w:ind w:right="266" w:firstLine="6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1"/>
          <w:sz w:val="28"/>
          <w:szCs w:val="28"/>
        </w:rPr>
        <w:t>根据上述规定，实用新型专利保护的客体，需同时具备三个</w:t>
      </w:r>
      <w:r>
        <w:rPr>
          <w:rFonts w:hint="eastAsia" w:ascii="宋体" w:hAnsi="宋体" w:eastAsia="宋体" w:cs="宋体"/>
          <w:sz w:val="28"/>
          <w:szCs w:val="28"/>
        </w:rPr>
        <w:t>方面要素：产品、形状和/或构造以及技术方案。当一件实用新</w:t>
      </w:r>
      <w:r>
        <w:rPr>
          <w:rFonts w:hint="eastAsia" w:ascii="宋体" w:hAnsi="宋体" w:eastAsia="宋体" w:cs="宋体"/>
          <w:w w:val="95"/>
          <w:sz w:val="28"/>
          <w:szCs w:val="28"/>
        </w:rPr>
        <w:t>型专利申请的权利要求不符合上述任一方面要素的相关规定时，</w:t>
      </w:r>
      <w:r>
        <w:rPr>
          <w:rFonts w:hint="eastAsia" w:ascii="宋体" w:hAnsi="宋体" w:eastAsia="宋体" w:cs="宋体"/>
          <w:spacing w:val="25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7"/>
          <w:sz w:val="28"/>
          <w:szCs w:val="28"/>
        </w:rPr>
        <w:t>不属于实用新型专利保护的客体。下面主要结合专利法、专利审</w:t>
      </w:r>
      <w:r>
        <w:rPr>
          <w:rFonts w:hint="eastAsia" w:ascii="宋体" w:hAnsi="宋体" w:eastAsia="宋体" w:cs="宋体"/>
          <w:sz w:val="28"/>
          <w:szCs w:val="28"/>
        </w:rPr>
        <w:t>查指南等中有关以上三方面要素的相关规定分别进行梳理。</w:t>
      </w:r>
    </w:p>
    <w:p>
      <w:pPr>
        <w:pStyle w:val="2"/>
        <w:spacing w:line="400" w:lineRule="exact"/>
        <w:ind w:left="747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二、实用新型专利保护客体判断涉及产品的常见情形</w:t>
      </w:r>
    </w:p>
    <w:p>
      <w:pPr>
        <w:pStyle w:val="2"/>
        <w:spacing w:before="151"/>
        <w:ind w:left="747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8"/>
          <w:sz w:val="28"/>
          <w:szCs w:val="28"/>
        </w:rPr>
        <w:t>根据专利法第二条第三款的规定，实用新型专利只保护产品。</w:t>
      </w:r>
    </w:p>
    <w:p>
      <w:pPr>
        <w:spacing w:after="0"/>
        <w:rPr>
          <w:rFonts w:hint="eastAsia" w:ascii="宋体" w:hAnsi="宋体" w:eastAsia="宋体" w:cs="宋体"/>
          <w:sz w:val="28"/>
          <w:szCs w:val="28"/>
        </w:rPr>
        <w:sectPr>
          <w:footerReference r:id="rId5" w:type="default"/>
          <w:type w:val="continuous"/>
          <w:pgSz w:w="11900" w:h="16840"/>
          <w:pgMar w:top="1600" w:right="1040" w:bottom="1580" w:left="1480" w:header="720" w:footer="1399" w:gutter="0"/>
          <w:pgNumType w:start="1"/>
          <w:cols w:space="720" w:num="1"/>
        </w:sectPr>
      </w:pPr>
    </w:p>
    <w:p>
      <w:pPr>
        <w:pStyle w:val="2"/>
        <w:ind w:lef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spacing w:before="12"/>
        <w:ind w:lef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spacing w:before="54" w:line="328" w:lineRule="auto"/>
        <w:ind w:right="427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7"/>
          <w:w w:val="95"/>
          <w:sz w:val="28"/>
          <w:szCs w:val="28"/>
        </w:rPr>
        <w:t>所述产品应当是经过产业方法制造的，有确定形状、构造且占据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w w:val="95"/>
          <w:sz w:val="28"/>
          <w:szCs w:val="28"/>
        </w:rPr>
        <w:t>一定空间的实体。一切方法以及未经人工制造的自然存在的物品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8"/>
          <w:w w:val="95"/>
          <w:sz w:val="28"/>
          <w:szCs w:val="28"/>
        </w:rPr>
        <w:t>不属于实用新型专利保护的客体。实用新型专利保护客体判断涉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及产品的常见情形如下。</w:t>
      </w:r>
    </w:p>
    <w:p>
      <w:pPr>
        <w:pStyle w:val="2"/>
        <w:spacing w:line="407" w:lineRule="exact"/>
        <w:ind w:left="75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（一）权利要求的主题名称应明确排除方法</w:t>
      </w:r>
    </w:p>
    <w:p>
      <w:pPr>
        <w:pStyle w:val="2"/>
        <w:spacing w:before="147" w:line="328" w:lineRule="auto"/>
        <w:ind w:right="427" w:firstLine="64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7"/>
          <w:w w:val="95"/>
          <w:sz w:val="28"/>
          <w:szCs w:val="28"/>
        </w:rPr>
        <w:t>如果权利要求的主题名称为一种方法，则不符合实用新型专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w w:val="95"/>
          <w:sz w:val="28"/>
          <w:szCs w:val="28"/>
        </w:rPr>
        <w:t>利保护客体的要求。比如权利要求主题名称为一种齿轮的制造方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法、工作间的除尘方法或数据处理方法等。</w:t>
      </w:r>
    </w:p>
    <w:p>
      <w:pPr>
        <w:pStyle w:val="2"/>
        <w:spacing w:line="407" w:lineRule="exact"/>
        <w:ind w:left="75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（二）权利要求可以使用已知方法的名称限定产品的形状、</w:t>
      </w:r>
    </w:p>
    <w:p>
      <w:pPr>
        <w:pStyle w:val="2"/>
        <w:spacing w:before="149"/>
        <w:ind w:left="108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构造</w:t>
      </w:r>
    </w:p>
    <w:p>
      <w:pPr>
        <w:pStyle w:val="2"/>
        <w:spacing w:before="150" w:line="328" w:lineRule="auto"/>
        <w:ind w:right="108" w:firstLine="6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5"/>
          <w:w w:val="95"/>
          <w:sz w:val="28"/>
          <w:szCs w:val="28"/>
        </w:rPr>
        <w:t>权利要求中可以使用已知方法的名称限定产品的形状、构造，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不得包含方法的步骤、工艺条件等。如采用已知的焊接、热压等</w:t>
      </w:r>
      <w:r>
        <w:rPr>
          <w:rFonts w:hint="eastAsia" w:ascii="宋体" w:hAnsi="宋体" w:eastAsia="宋体" w:cs="宋体"/>
          <w:spacing w:val="-6"/>
          <w:sz w:val="28"/>
          <w:szCs w:val="28"/>
        </w:rPr>
        <w:t>加工方法限定的各部件的连接关系等。对于方法本身的改进，如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0"/>
          <w:sz w:val="28"/>
          <w:szCs w:val="28"/>
        </w:rPr>
        <w:t>产品的加工步骤、工艺方法等的改进，不属于实用新型专利保护的</w:t>
      </w:r>
      <w:r>
        <w:rPr>
          <w:rFonts w:hint="eastAsia" w:ascii="宋体" w:hAnsi="宋体" w:eastAsia="宋体" w:cs="宋体"/>
          <w:spacing w:val="-11"/>
          <w:sz w:val="28"/>
          <w:szCs w:val="28"/>
        </w:rPr>
        <w:t>客体。即使权利要求中既包含对方法本身的改进，又包含产品的形</w:t>
      </w:r>
      <w:r>
        <w:rPr>
          <w:rFonts w:hint="eastAsia" w:ascii="宋体" w:hAnsi="宋体" w:eastAsia="宋体" w:cs="宋体"/>
          <w:sz w:val="28"/>
          <w:szCs w:val="28"/>
        </w:rPr>
        <w:t>状、构造特征，仍不属于实用新型专利保护的客体。</w:t>
      </w:r>
    </w:p>
    <w:p>
      <w:pPr>
        <w:pStyle w:val="2"/>
        <w:spacing w:line="328" w:lineRule="auto"/>
        <w:ind w:right="269" w:firstLine="6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2"/>
          <w:sz w:val="28"/>
          <w:szCs w:val="28"/>
        </w:rPr>
        <w:t>如，一种可降解抗菌型保鲜膜套，权利要求中不仅包含了套</w:t>
      </w:r>
      <w:r>
        <w:rPr>
          <w:rFonts w:hint="eastAsia" w:ascii="宋体" w:hAnsi="宋体" w:eastAsia="宋体" w:cs="宋体"/>
          <w:spacing w:val="-18"/>
          <w:w w:val="95"/>
          <w:sz w:val="28"/>
          <w:szCs w:val="28"/>
        </w:rPr>
        <w:t>体采用可降解薄膜制作、末端设有松紧固定带的形状、构造特征，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还包含了以提高抗菌剂与薄膜结合强度保证抗菌效果为目的的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0"/>
          <w:sz w:val="28"/>
          <w:szCs w:val="28"/>
        </w:rPr>
        <w:t>改进的抗菌加工工艺。该工艺为：薄膜分别采用去离子水和乙醇</w:t>
      </w:r>
      <w:r>
        <w:rPr>
          <w:rFonts w:hint="eastAsia" w:ascii="宋体" w:hAnsi="宋体" w:eastAsia="宋体" w:cs="宋体"/>
          <w:spacing w:val="3"/>
          <w:w w:val="95"/>
          <w:sz w:val="28"/>
          <w:szCs w:val="28"/>
        </w:rPr>
        <w:t xml:space="preserve">溶液进行两次清洗，在抗菌液中浸渍 </w:t>
      </w:r>
      <w:r>
        <w:rPr>
          <w:rFonts w:hint="eastAsia" w:ascii="宋体" w:hAnsi="宋体" w:eastAsia="宋体" w:cs="宋体"/>
          <w:w w:val="95"/>
          <w:sz w:val="28"/>
          <w:szCs w:val="28"/>
        </w:rPr>
        <w:t>10</w:t>
      </w:r>
      <w:r>
        <w:rPr>
          <w:rFonts w:hint="eastAsia" w:ascii="宋体" w:hAnsi="宋体" w:eastAsia="宋体" w:cs="宋体"/>
          <w:spacing w:val="67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5"/>
          <w:sz w:val="28"/>
          <w:szCs w:val="28"/>
        </w:rPr>
        <w:t>秒后进行轧辊，最后进</w:t>
      </w:r>
    </w:p>
    <w:p>
      <w:pPr>
        <w:pStyle w:val="2"/>
        <w:spacing w:line="40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1"/>
          <w:w w:val="95"/>
          <w:sz w:val="28"/>
          <w:szCs w:val="28"/>
        </w:rPr>
        <w:t xml:space="preserve">行分段加热：低温在 </w:t>
      </w:r>
      <w:r>
        <w:rPr>
          <w:rFonts w:hint="eastAsia" w:ascii="宋体" w:hAnsi="宋体" w:eastAsia="宋体" w:cs="宋体"/>
          <w:w w:val="95"/>
          <w:sz w:val="28"/>
          <w:szCs w:val="28"/>
        </w:rPr>
        <w:t>30-50</w:t>
      </w:r>
      <w:r>
        <w:rPr>
          <w:rFonts w:hint="eastAsia" w:ascii="宋体" w:hAnsi="宋体" w:eastAsia="宋体" w:cs="宋体"/>
          <w:spacing w:val="18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5"/>
          <w:sz w:val="28"/>
          <w:szCs w:val="28"/>
        </w:rPr>
        <w:t>摄氏度，去除水分同时预热，高温在</w:t>
      </w:r>
    </w:p>
    <w:p>
      <w:pPr>
        <w:spacing w:after="0" w:line="400" w:lineRule="exact"/>
        <w:rPr>
          <w:rFonts w:hint="eastAsia" w:ascii="宋体" w:hAnsi="宋体" w:eastAsia="宋体" w:cs="宋体"/>
          <w:sz w:val="28"/>
          <w:szCs w:val="28"/>
        </w:rPr>
        <w:sectPr>
          <w:pgSz w:w="11900" w:h="16840"/>
          <w:pgMar w:top="1600" w:right="1040" w:bottom="1580" w:left="1480" w:header="0" w:footer="1399" w:gutter="0"/>
          <w:cols w:space="720" w:num="1"/>
        </w:sectPr>
      </w:pPr>
    </w:p>
    <w:p>
      <w:pPr>
        <w:pStyle w:val="2"/>
        <w:ind w:lef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spacing w:before="2"/>
        <w:ind w:lef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spacing w:before="64" w:line="328" w:lineRule="auto"/>
        <w:ind w:right="427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70-85</w:t>
      </w:r>
      <w:r>
        <w:rPr>
          <w:rFonts w:hint="eastAsia" w:ascii="宋体" w:hAnsi="宋体" w:eastAsia="宋体" w:cs="宋体"/>
          <w:spacing w:val="9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摄氏度，进行烘干。由于权利要求中包含了对于方法本身的改进，不属于实用新型专利保护的客体。</w:t>
      </w:r>
    </w:p>
    <w:p>
      <w:pPr>
        <w:pStyle w:val="2"/>
        <w:spacing w:line="410" w:lineRule="exact"/>
        <w:ind w:left="75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（三）关于计算机程序的客体判断</w:t>
      </w:r>
    </w:p>
    <w:p>
      <w:pPr>
        <w:pStyle w:val="2"/>
        <w:spacing w:before="147" w:line="328" w:lineRule="auto"/>
        <w:ind w:right="427" w:firstLine="64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9"/>
          <w:w w:val="95"/>
          <w:sz w:val="28"/>
          <w:szCs w:val="28"/>
        </w:rPr>
        <w:t>结合计算机程序的技术特点，对于涉及计算机程序的产品权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w w:val="95"/>
          <w:sz w:val="28"/>
          <w:szCs w:val="28"/>
        </w:rPr>
        <w:t>利要求，仅包含已知计算机程序名称的，可以认为属于实用新型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0"/>
          <w:w w:val="95"/>
          <w:sz w:val="28"/>
          <w:szCs w:val="28"/>
        </w:rPr>
        <w:t>专利保护的客体。对于既包含了硬件的改进，又包含了计算机程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9"/>
          <w:w w:val="95"/>
          <w:sz w:val="28"/>
          <w:szCs w:val="28"/>
        </w:rPr>
        <w:t>序的产品权利要求，如果对现有技术的改进在于硬件部分，且所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9"/>
          <w:w w:val="95"/>
          <w:sz w:val="28"/>
          <w:szCs w:val="28"/>
        </w:rPr>
        <w:t>涉及的计算机程序为已知的，可以认为属于实用新型专利保护的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w w:val="95"/>
          <w:sz w:val="28"/>
          <w:szCs w:val="28"/>
        </w:rPr>
        <w:t>客体；如果权利要求中既包含了对硬件部分的改进，又包含了对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计算机程序本身的改进，不属于实用新型专利保护的客体。</w:t>
      </w:r>
    </w:p>
    <w:p>
      <w:pPr>
        <w:pStyle w:val="2"/>
        <w:spacing w:line="328" w:lineRule="auto"/>
        <w:ind w:right="427" w:firstLine="64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8"/>
          <w:w w:val="95"/>
          <w:sz w:val="28"/>
          <w:szCs w:val="28"/>
        </w:rPr>
        <w:t>因为实用新型专利只保护产品，对于形式上撰写为产品，但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6"/>
          <w:w w:val="95"/>
          <w:sz w:val="28"/>
          <w:szCs w:val="28"/>
        </w:rPr>
        <w:t>实质上属于计算机程序模块构架类的权利要求，由于仅包含以计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8"/>
          <w:w w:val="95"/>
          <w:sz w:val="28"/>
          <w:szCs w:val="28"/>
        </w:rPr>
        <w:t>算机程序流程为依据的程序模块，不属于实用新型专利保护的客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体。</w:t>
      </w:r>
    </w:p>
    <w:p>
      <w:pPr>
        <w:pStyle w:val="2"/>
        <w:spacing w:line="393" w:lineRule="exact"/>
        <w:ind w:left="747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3"/>
          <w:sz w:val="28"/>
          <w:szCs w:val="28"/>
        </w:rPr>
        <w:t>具体的，如，权利要求请求保护一种人脸识别智能门锁，为</w:t>
      </w:r>
    </w:p>
    <w:p>
      <w:pPr>
        <w:pStyle w:val="2"/>
        <w:spacing w:before="149" w:line="328" w:lineRule="auto"/>
        <w:ind w:right="106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5"/>
          <w:sz w:val="28"/>
          <w:szCs w:val="28"/>
        </w:rPr>
        <w:t>了解决传统机械门锁如果忘带钥匙则无法开门的问题，采用了人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8"/>
          <w:sz w:val="28"/>
          <w:szCs w:val="28"/>
        </w:rPr>
        <w:t>脸匹配自动开锁的技术手段，其中包含了硬件结构的改进，也包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5"/>
          <w:sz w:val="28"/>
          <w:szCs w:val="28"/>
        </w:rPr>
        <w:t>含了处理器模块中运行的实现人脸识别的计算机程序。如果该人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w w:val="95"/>
          <w:sz w:val="28"/>
          <w:szCs w:val="28"/>
        </w:rPr>
        <w:t>脸识别程序为已知的，权利要求不涉及对该程序本身做出的改进，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该权利要求可以认为属于实用新型专利保护的客体。</w:t>
      </w:r>
    </w:p>
    <w:p>
      <w:pPr>
        <w:pStyle w:val="2"/>
        <w:spacing w:line="326" w:lineRule="auto"/>
        <w:ind w:right="427" w:firstLine="6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1"/>
          <w:w w:val="95"/>
          <w:sz w:val="28"/>
          <w:szCs w:val="28"/>
        </w:rPr>
        <w:t>再如，权利要求请求保护一种自控式红绿灯控制系统，其特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8"/>
          <w:w w:val="95"/>
          <w:sz w:val="28"/>
          <w:szCs w:val="28"/>
        </w:rPr>
        <w:t>征在于包括与参数设置输入装置、强制开关装置和多级地感线圈</w:t>
      </w:r>
    </w:p>
    <w:p>
      <w:pPr>
        <w:spacing w:after="0" w:line="326" w:lineRule="auto"/>
        <w:rPr>
          <w:rFonts w:hint="eastAsia" w:ascii="宋体" w:hAnsi="宋体" w:eastAsia="宋体" w:cs="宋体"/>
          <w:sz w:val="28"/>
          <w:szCs w:val="28"/>
        </w:rPr>
        <w:sectPr>
          <w:pgSz w:w="11900" w:h="16840"/>
          <w:pgMar w:top="1600" w:right="1040" w:bottom="1580" w:left="1480" w:header="0" w:footer="1399" w:gutter="0"/>
          <w:cols w:space="720" w:num="1"/>
        </w:sectPr>
      </w:pPr>
    </w:p>
    <w:p>
      <w:pPr>
        <w:pStyle w:val="2"/>
        <w:ind w:lef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spacing w:before="12"/>
        <w:ind w:lef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spacing w:before="54" w:line="328" w:lineRule="auto"/>
        <w:ind w:right="427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9"/>
          <w:w w:val="95"/>
          <w:sz w:val="28"/>
          <w:szCs w:val="28"/>
        </w:rPr>
        <w:t>检测装置连接的中央控制单元，主要解决现有技术中红绿灯无法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5"/>
          <w:sz w:val="28"/>
          <w:szCs w:val="28"/>
        </w:rPr>
        <w:t>根据道路静止车辆排队长度自动调整不同方向的车辆放行时间</w:t>
      </w:r>
      <w:r>
        <w:rPr>
          <w:rFonts w:hint="eastAsia" w:ascii="宋体" w:hAnsi="宋体" w:eastAsia="宋体" w:cs="宋体"/>
          <w:spacing w:val="176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8"/>
          <w:w w:val="95"/>
          <w:sz w:val="28"/>
          <w:szCs w:val="28"/>
        </w:rPr>
        <w:t>和各方向的放行顺序的问题。解决上述技术问题需要依赖“中央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5"/>
          <w:sz w:val="28"/>
          <w:szCs w:val="28"/>
        </w:rPr>
        <w:t>控制单元”中运行的实现“对车辆检测信号进行分析运算，判断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7"/>
          <w:w w:val="95"/>
          <w:sz w:val="28"/>
          <w:szCs w:val="28"/>
        </w:rPr>
        <w:t>道路上是否有车辆以及车辆的行驶状态，并计算道路上静止车辆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2"/>
          <w:w w:val="95"/>
          <w:sz w:val="28"/>
          <w:szCs w:val="28"/>
        </w:rPr>
        <w:t>的排队长度，根据各道路静止车辆排队长度自动调整不同方向的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6"/>
          <w:w w:val="95"/>
          <w:sz w:val="28"/>
          <w:szCs w:val="28"/>
        </w:rPr>
        <w:t>车辆放行时间和各方向的放行顺序”这一功能的计算机程序，如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7"/>
          <w:w w:val="95"/>
          <w:sz w:val="28"/>
          <w:szCs w:val="28"/>
        </w:rPr>
        <w:t>果该计算机程序不属于已知计算机程序，则该权利要求包含了对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计算机程序本身的改进，不属于实用新型专利保护的客体。</w:t>
      </w:r>
    </w:p>
    <w:p>
      <w:pPr>
        <w:pStyle w:val="2"/>
        <w:spacing w:line="395" w:lineRule="exact"/>
        <w:ind w:left="747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1"/>
          <w:sz w:val="28"/>
          <w:szCs w:val="28"/>
        </w:rPr>
        <w:t>又如，权利要求请求保护一种语义词典构建装置，其特征在</w:t>
      </w:r>
    </w:p>
    <w:p>
      <w:pPr>
        <w:pStyle w:val="2"/>
        <w:spacing w:before="152" w:line="328" w:lineRule="auto"/>
        <w:ind w:right="106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于，包括：语句筛选模块，用于从用户的网络日志中提取具有相</w:t>
      </w:r>
      <w:r>
        <w:rPr>
          <w:rFonts w:hint="eastAsia" w:ascii="宋体" w:hAnsi="宋体" w:eastAsia="宋体" w:cs="宋体"/>
          <w:spacing w:val="20"/>
          <w:sz w:val="28"/>
          <w:szCs w:val="28"/>
        </w:rPr>
        <w:t>同或者相近语义的句子；词语筛选模块，……；词语聚类模</w:t>
      </w:r>
      <w:r>
        <w:rPr>
          <w:rFonts w:hint="eastAsia" w:ascii="宋体" w:hAnsi="宋体" w:eastAsia="宋体" w:cs="宋体"/>
          <w:sz w:val="28"/>
          <w:szCs w:val="28"/>
        </w:rPr>
        <w:t>块，……。虽然该权利要求撰写为产品权利要求的形式，但其实</w:t>
      </w:r>
      <w:r>
        <w:rPr>
          <w:rFonts w:hint="eastAsia" w:ascii="宋体" w:hAnsi="宋体" w:eastAsia="宋体" w:cs="宋体"/>
          <w:spacing w:val="-10"/>
          <w:sz w:val="28"/>
          <w:szCs w:val="28"/>
        </w:rPr>
        <w:t>质是以计算机流程为依据、按照与计算机流程的各步骤完全对应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w w:val="95"/>
          <w:sz w:val="28"/>
          <w:szCs w:val="28"/>
        </w:rPr>
        <w:t>一致的方式撰写的，实质上属于计算机程序模块构架类权利要求，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不属于实用新型专利保护的客体。</w:t>
      </w:r>
    </w:p>
    <w:p>
      <w:pPr>
        <w:pStyle w:val="2"/>
        <w:spacing w:line="402" w:lineRule="exact"/>
        <w:ind w:left="75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（四）关于人为布局规划的客体判断</w:t>
      </w:r>
    </w:p>
    <w:p>
      <w:pPr>
        <w:pStyle w:val="2"/>
        <w:spacing w:before="147" w:line="328" w:lineRule="auto"/>
        <w:ind w:right="106" w:firstLine="6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6"/>
          <w:w w:val="95"/>
          <w:sz w:val="28"/>
          <w:szCs w:val="28"/>
        </w:rPr>
        <w:t>人为布局规划通常是指根据人类生产生活的需要，对建筑物、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sz w:val="28"/>
          <w:szCs w:val="28"/>
        </w:rPr>
        <w:t>场地空间等做出的，主要依靠人为规则以及使用方式等改进实现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2"/>
          <w:sz w:val="28"/>
          <w:szCs w:val="28"/>
        </w:rPr>
        <w:t>的布局规划。由于该类申请解决技术问题或达到技术效果必须依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sz w:val="28"/>
          <w:szCs w:val="28"/>
        </w:rPr>
        <w:t>赖于人为规划的改进，其权利要求所要保护的技术方案实质上不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7"/>
          <w:sz w:val="28"/>
          <w:szCs w:val="28"/>
        </w:rPr>
        <w:t>符合专利审查指南中有关针对产品形状、构造提出的改进技术方</w:t>
      </w:r>
    </w:p>
    <w:p>
      <w:pPr>
        <w:spacing w:after="0" w:line="328" w:lineRule="auto"/>
        <w:rPr>
          <w:rFonts w:hint="eastAsia" w:ascii="宋体" w:hAnsi="宋体" w:eastAsia="宋体" w:cs="宋体"/>
          <w:sz w:val="28"/>
          <w:szCs w:val="28"/>
        </w:rPr>
        <w:sectPr>
          <w:pgSz w:w="11900" w:h="16840"/>
          <w:pgMar w:top="1600" w:right="1040" w:bottom="1580" w:left="1480" w:header="0" w:footer="1399" w:gutter="0"/>
          <w:cols w:space="720" w:num="1"/>
        </w:sectPr>
      </w:pPr>
    </w:p>
    <w:p>
      <w:pPr>
        <w:pStyle w:val="2"/>
        <w:ind w:lef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spacing w:before="12"/>
        <w:ind w:lef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spacing w:before="5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案的要求，因而不属于实用新型专利保护的客体。</w:t>
      </w:r>
    </w:p>
    <w:p>
      <w:pPr>
        <w:pStyle w:val="2"/>
        <w:spacing w:before="152" w:line="328" w:lineRule="auto"/>
        <w:ind w:right="264" w:firstLine="6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w w:val="95"/>
          <w:sz w:val="28"/>
          <w:szCs w:val="28"/>
        </w:rPr>
        <w:t>如，权利要求请求保护一种信号控制的交叉路口特殊车道，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7"/>
          <w:sz w:val="28"/>
          <w:szCs w:val="28"/>
        </w:rPr>
        <w:t>解决提高交叉路口的通行能力的问题，解决该问题必须依赖对车</w:t>
      </w:r>
      <w:r>
        <w:rPr>
          <w:rFonts w:hint="eastAsia" w:ascii="宋体" w:hAnsi="宋体" w:eastAsia="宋体" w:cs="宋体"/>
          <w:spacing w:val="-1"/>
          <w:sz w:val="28"/>
          <w:szCs w:val="28"/>
        </w:rPr>
        <w:t>道功能进行的人为划分，其是对人为布局规划的改进，因此，该</w:t>
      </w:r>
      <w:r>
        <w:rPr>
          <w:rFonts w:hint="eastAsia" w:ascii="宋体" w:hAnsi="宋体" w:eastAsia="宋体" w:cs="宋体"/>
          <w:sz w:val="28"/>
          <w:szCs w:val="28"/>
        </w:rPr>
        <w:t>权利要求不属于实用新型专利保护的客体。</w:t>
      </w:r>
    </w:p>
    <w:p>
      <w:pPr>
        <w:pStyle w:val="2"/>
        <w:spacing w:line="328" w:lineRule="auto"/>
        <w:ind w:right="427" w:firstLine="64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1"/>
          <w:w w:val="95"/>
          <w:sz w:val="28"/>
          <w:szCs w:val="28"/>
        </w:rPr>
        <w:t>再如，权利要求请求保护一种花园式厂房，解决现有厂房整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5"/>
          <w:sz w:val="28"/>
          <w:szCs w:val="28"/>
        </w:rPr>
        <w:t>合度差，产量匹配度低，各个环节存在大量转运过程，各环节流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w w:val="95"/>
          <w:sz w:val="28"/>
          <w:szCs w:val="28"/>
        </w:rPr>
        <w:t>通物流成本高等问题，解决该问题必须依赖对厂房各功能区域位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5"/>
          <w:sz w:val="28"/>
          <w:szCs w:val="28"/>
        </w:rPr>
        <w:t>置的人为划分，其是对人为布局规划的改进，因此，该权利要求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不属于实用新型专利保护的客体。</w:t>
      </w:r>
    </w:p>
    <w:p>
      <w:pPr>
        <w:pStyle w:val="2"/>
        <w:spacing w:line="402" w:lineRule="exact"/>
        <w:ind w:left="747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三、实用新型专利保护客体判断涉及形状和/或构造的常见</w:t>
      </w:r>
    </w:p>
    <w:p>
      <w:pPr>
        <w:pStyle w:val="2"/>
        <w:spacing w:before="142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情形</w:t>
      </w:r>
    </w:p>
    <w:p>
      <w:pPr>
        <w:pStyle w:val="2"/>
        <w:spacing w:before="149"/>
        <w:ind w:left="747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8"/>
          <w:sz w:val="28"/>
          <w:szCs w:val="28"/>
        </w:rPr>
        <w:t>根据专利法第二条第三款的规定，实用新型应当是针对产品</w:t>
      </w:r>
    </w:p>
    <w:p>
      <w:pPr>
        <w:pStyle w:val="2"/>
        <w:spacing w:before="15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的形状和/或构造所提出的改进。</w:t>
      </w:r>
    </w:p>
    <w:p>
      <w:pPr>
        <w:pStyle w:val="2"/>
        <w:spacing w:before="150" w:line="328" w:lineRule="auto"/>
        <w:ind w:right="427" w:firstLine="64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9"/>
          <w:w w:val="95"/>
          <w:sz w:val="28"/>
          <w:szCs w:val="28"/>
        </w:rPr>
        <w:t>产品的形状是指产品所具有的、可以从外部观察到的确定的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5"/>
          <w:sz w:val="28"/>
          <w:szCs w:val="28"/>
        </w:rPr>
        <w:t>空间形状。包含产品二维或三维的形态，如螺旋形的刀具、横截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5"/>
          <w:sz w:val="28"/>
          <w:szCs w:val="28"/>
        </w:rPr>
        <w:t>面呈倒“F”型的型材。无确定形状的产品，如气态、液态、粉</w:t>
      </w:r>
      <w:r>
        <w:rPr>
          <w:rFonts w:hint="eastAsia" w:ascii="宋体" w:hAnsi="宋体" w:eastAsia="宋体" w:cs="宋体"/>
          <w:spacing w:val="14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2"/>
          <w:w w:val="95"/>
          <w:sz w:val="28"/>
          <w:szCs w:val="28"/>
        </w:rPr>
        <w:t>末状、颗粒状的物质或材料，其形状不能作为实用新型保护的形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状特征。</w:t>
      </w:r>
    </w:p>
    <w:p>
      <w:pPr>
        <w:pStyle w:val="2"/>
        <w:spacing w:line="326" w:lineRule="auto"/>
        <w:ind w:right="427" w:firstLine="64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6"/>
          <w:w w:val="95"/>
          <w:sz w:val="28"/>
          <w:szCs w:val="28"/>
        </w:rPr>
        <w:t>产品的构造是指产品的各个组成部分的安排、组织和相互关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5"/>
          <w:sz w:val="28"/>
          <w:szCs w:val="28"/>
        </w:rPr>
        <w:t>系。机械构造、线路构造、复合层结构属于产品的构造。物质的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2"/>
          <w:w w:val="95"/>
          <w:sz w:val="28"/>
          <w:szCs w:val="28"/>
        </w:rPr>
        <w:t>分子结构、组分、金相结构等不属于实用新型专利给予保护的产</w:t>
      </w:r>
    </w:p>
    <w:p>
      <w:pPr>
        <w:spacing w:after="0" w:line="326" w:lineRule="auto"/>
        <w:jc w:val="both"/>
        <w:rPr>
          <w:rFonts w:hint="eastAsia" w:ascii="宋体" w:hAnsi="宋体" w:eastAsia="宋体" w:cs="宋体"/>
          <w:sz w:val="28"/>
          <w:szCs w:val="28"/>
        </w:rPr>
        <w:sectPr>
          <w:pgSz w:w="11900" w:h="16840"/>
          <w:pgMar w:top="1600" w:right="1040" w:bottom="1580" w:left="1480" w:header="0" w:footer="1399" w:gutter="0"/>
          <w:cols w:space="720" w:num="1"/>
        </w:sectPr>
      </w:pPr>
    </w:p>
    <w:p>
      <w:pPr>
        <w:pStyle w:val="2"/>
        <w:ind w:lef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spacing w:before="12"/>
        <w:ind w:lef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spacing w:before="54" w:line="328" w:lineRule="auto"/>
        <w:ind w:right="427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2"/>
          <w:w w:val="95"/>
          <w:sz w:val="28"/>
          <w:szCs w:val="28"/>
        </w:rPr>
        <w:t>品的构造，如仅改变焊条药皮组分的电焊条不属于实用新型专利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保护的客体。</w:t>
      </w:r>
    </w:p>
    <w:p>
      <w:pPr>
        <w:pStyle w:val="2"/>
        <w:spacing w:line="326" w:lineRule="auto"/>
        <w:ind w:right="425" w:firstLine="6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w w:val="95"/>
          <w:sz w:val="28"/>
          <w:szCs w:val="28"/>
        </w:rPr>
        <w:t>实用新型专利保护客体判断涉及产品形状和/或构造的常见</w:t>
      </w:r>
      <w:r>
        <w:rPr>
          <w:rFonts w:hint="eastAsia" w:ascii="宋体" w:hAnsi="宋体" w:eastAsia="宋体" w:cs="宋体"/>
          <w:spacing w:val="53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情形如下。</w:t>
      </w:r>
    </w:p>
    <w:p>
      <w:pPr>
        <w:pStyle w:val="2"/>
        <w:spacing w:before="6"/>
        <w:ind w:left="75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（一）关于形状特征的客体判断</w:t>
      </w:r>
    </w:p>
    <w:p>
      <w:pPr>
        <w:pStyle w:val="2"/>
        <w:spacing w:before="147" w:line="326" w:lineRule="auto"/>
        <w:ind w:right="427" w:firstLine="6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5"/>
          <w:w w:val="95"/>
          <w:sz w:val="28"/>
          <w:szCs w:val="28"/>
        </w:rPr>
        <w:t>不能以生物的或者自然形成的形状作为产品的形状特征。例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如，植物盆景中植物生长所形成的形状、假山形状等。</w:t>
      </w:r>
    </w:p>
    <w:p>
      <w:pPr>
        <w:pStyle w:val="2"/>
        <w:spacing w:before="5" w:line="328" w:lineRule="auto"/>
        <w:ind w:right="427" w:firstLine="64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2"/>
          <w:w w:val="95"/>
          <w:sz w:val="28"/>
          <w:szCs w:val="28"/>
        </w:rPr>
        <w:t>不能以摆放、堆积等方法获得的非确定的形状作为产品的形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w w:val="95"/>
          <w:sz w:val="28"/>
          <w:szCs w:val="28"/>
        </w:rPr>
        <w:t>状特征。例如，不能以堆积后形成的圆台形状作为一种建筑沙堆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2"/>
          <w:w w:val="95"/>
          <w:sz w:val="28"/>
          <w:szCs w:val="28"/>
        </w:rPr>
        <w:t>的形状特征，也不能以摆放后形成的梯形形状作为一种钢管的形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状特征。</w:t>
      </w:r>
    </w:p>
    <w:p>
      <w:pPr>
        <w:pStyle w:val="2"/>
        <w:spacing w:line="328" w:lineRule="auto"/>
        <w:ind w:right="264" w:firstLine="6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w w:val="95"/>
          <w:sz w:val="28"/>
          <w:szCs w:val="28"/>
        </w:rPr>
        <w:t>允许产品中的某个技术特征为无确定形状的物质，如气态、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"/>
          <w:sz w:val="28"/>
          <w:szCs w:val="28"/>
        </w:rPr>
        <w:t>液态、粉末状、颗粒状物质，只要其在该产品中受该产品结构特</w:t>
      </w:r>
      <w:r>
        <w:rPr>
          <w:rFonts w:hint="eastAsia" w:ascii="宋体" w:hAnsi="宋体" w:eastAsia="宋体" w:cs="宋体"/>
          <w:spacing w:val="-11"/>
          <w:sz w:val="28"/>
          <w:szCs w:val="28"/>
        </w:rPr>
        <w:t>征的限制即可，例如，对温度计的形状构造所提出的技术方案中</w:t>
      </w:r>
      <w:r>
        <w:rPr>
          <w:rFonts w:hint="eastAsia" w:ascii="宋体" w:hAnsi="宋体" w:eastAsia="宋体" w:cs="宋体"/>
          <w:sz w:val="28"/>
          <w:szCs w:val="28"/>
        </w:rPr>
        <w:t>允许写入无确定形状的酒精。</w:t>
      </w:r>
    </w:p>
    <w:p>
      <w:pPr>
        <w:pStyle w:val="2"/>
        <w:spacing w:line="328" w:lineRule="auto"/>
        <w:ind w:right="427" w:firstLine="64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w w:val="95"/>
          <w:sz w:val="28"/>
          <w:szCs w:val="28"/>
        </w:rPr>
        <w:t>产品的形状可以是在某种特定情况下所具有的确定的空间</w:t>
      </w:r>
      <w:r>
        <w:rPr>
          <w:rFonts w:hint="eastAsia" w:ascii="宋体" w:hAnsi="宋体" w:eastAsia="宋体" w:cs="宋体"/>
          <w:spacing w:val="152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5"/>
          <w:sz w:val="28"/>
          <w:szCs w:val="28"/>
        </w:rPr>
        <w:t>形状。例如，具有新颖形状的冰杯、降落伞等。又如，一种用于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5"/>
          <w:sz w:val="28"/>
          <w:szCs w:val="28"/>
        </w:rPr>
        <w:t>钢带运输和存放的钢带包装壳，由内钢圈、外钢圈、捆带、外护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0"/>
          <w:w w:val="95"/>
          <w:sz w:val="28"/>
          <w:szCs w:val="28"/>
        </w:rPr>
        <w:t>板以及防水复合纸等构成，若其各部分按照技术方案所确定的相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6"/>
          <w:w w:val="95"/>
          <w:sz w:val="28"/>
          <w:szCs w:val="28"/>
        </w:rPr>
        <w:t>互关系将钢带包装起来后形成确定的空间形状，这样的空间形状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w w:val="95"/>
          <w:sz w:val="28"/>
          <w:szCs w:val="28"/>
        </w:rPr>
        <w:t>不具有任意性，则钢带包装壳可以认为属于实用新型专利保护的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客体。</w:t>
      </w:r>
    </w:p>
    <w:p>
      <w:pPr>
        <w:spacing w:after="0" w:line="328" w:lineRule="auto"/>
        <w:jc w:val="both"/>
        <w:rPr>
          <w:rFonts w:hint="eastAsia" w:ascii="宋体" w:hAnsi="宋体" w:eastAsia="宋体" w:cs="宋体"/>
          <w:sz w:val="28"/>
          <w:szCs w:val="28"/>
        </w:rPr>
        <w:sectPr>
          <w:pgSz w:w="11900" w:h="16840"/>
          <w:pgMar w:top="1600" w:right="1040" w:bottom="1580" w:left="1480" w:header="0" w:footer="1399" w:gutter="0"/>
          <w:cols w:space="720" w:num="1"/>
        </w:sectPr>
      </w:pPr>
    </w:p>
    <w:p>
      <w:pPr>
        <w:pStyle w:val="2"/>
        <w:ind w:lef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spacing w:before="1"/>
        <w:ind w:lef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spacing w:before="55"/>
        <w:ind w:left="75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（二）关于层状结构、线路构造的客体判断</w:t>
      </w:r>
    </w:p>
    <w:p>
      <w:pPr>
        <w:pStyle w:val="2"/>
        <w:spacing w:before="149" w:line="328" w:lineRule="auto"/>
        <w:ind w:right="427" w:firstLine="64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w w:val="95"/>
          <w:sz w:val="28"/>
          <w:szCs w:val="28"/>
        </w:rPr>
        <w:t>一般来说，层状结构、线路构造属于产品的构造。复合层结</w:t>
      </w:r>
      <w:r>
        <w:rPr>
          <w:rFonts w:hint="eastAsia" w:ascii="宋体" w:hAnsi="宋体" w:eastAsia="宋体" w:cs="宋体"/>
          <w:spacing w:val="-10"/>
          <w:w w:val="95"/>
          <w:sz w:val="28"/>
          <w:szCs w:val="28"/>
        </w:rPr>
        <w:t>构中层的厚薄、均匀程度不影响其作为一种产品的构造。但产品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9"/>
          <w:w w:val="95"/>
          <w:sz w:val="28"/>
          <w:szCs w:val="28"/>
        </w:rPr>
        <w:t>的印刷层不属于产品的构造，即通过印刷或者绘制方式在产品表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2"/>
          <w:w w:val="95"/>
          <w:sz w:val="28"/>
          <w:szCs w:val="28"/>
        </w:rPr>
        <w:t>面形成的含有图案、文字、符号等内容的信息层不属于产品的构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造，例如，印制在袋体表面的广告层。</w:t>
      </w:r>
    </w:p>
    <w:p>
      <w:pPr>
        <w:pStyle w:val="2"/>
        <w:spacing w:line="328" w:lineRule="auto"/>
        <w:ind w:right="266" w:firstLine="6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"/>
          <w:sz w:val="28"/>
          <w:szCs w:val="28"/>
        </w:rPr>
        <w:t>线路构造通常包括电路、气路、液压线路、光路等。电路各</w:t>
      </w:r>
      <w:r>
        <w:rPr>
          <w:rFonts w:hint="eastAsia" w:ascii="宋体" w:hAnsi="宋体" w:eastAsia="宋体" w:cs="宋体"/>
          <w:spacing w:val="-6"/>
          <w:sz w:val="28"/>
          <w:szCs w:val="28"/>
        </w:rPr>
        <w:t>个组成部分之间确定的连接关系可以是有线连接，也可以是无线</w:t>
      </w:r>
      <w:r>
        <w:rPr>
          <w:rFonts w:hint="eastAsia" w:ascii="宋体" w:hAnsi="宋体" w:eastAsia="宋体" w:cs="宋体"/>
          <w:spacing w:val="-10"/>
          <w:sz w:val="28"/>
          <w:szCs w:val="28"/>
        </w:rPr>
        <w:t>连接。例如可以根据电路中信号流的流向描述电路的构造：一种</w:t>
      </w:r>
      <w:r>
        <w:rPr>
          <w:rFonts w:hint="eastAsia" w:ascii="宋体" w:hAnsi="宋体" w:eastAsia="宋体" w:cs="宋体"/>
          <w:spacing w:val="-1"/>
          <w:sz w:val="28"/>
          <w:szCs w:val="28"/>
        </w:rPr>
        <w:t>二氧化碳气体浓度传感器，由信号采集单元、信号取样单元、放</w:t>
      </w:r>
      <w:r>
        <w:rPr>
          <w:rFonts w:hint="eastAsia" w:ascii="宋体" w:hAnsi="宋体" w:eastAsia="宋体" w:cs="宋体"/>
          <w:spacing w:val="-8"/>
          <w:sz w:val="28"/>
          <w:szCs w:val="28"/>
        </w:rPr>
        <w:t>大滤波电路和整形电路构成，其特征是：信号采集单元采集空气</w:t>
      </w:r>
      <w:r>
        <w:rPr>
          <w:rFonts w:hint="eastAsia" w:ascii="宋体" w:hAnsi="宋体" w:eastAsia="宋体" w:cs="宋体"/>
          <w:spacing w:val="-10"/>
          <w:sz w:val="28"/>
          <w:szCs w:val="28"/>
        </w:rPr>
        <w:t>中的二氧化碳的浓度信号，然后将采集到的信号输入给信号取样</w:t>
      </w:r>
      <w:r>
        <w:rPr>
          <w:rFonts w:hint="eastAsia" w:ascii="宋体" w:hAnsi="宋体" w:eastAsia="宋体" w:cs="宋体"/>
          <w:spacing w:val="-11"/>
          <w:sz w:val="28"/>
          <w:szCs w:val="28"/>
        </w:rPr>
        <w:t>单元，然后经过放大滤波电路进行电信号放大，并由滤波电路滤</w:t>
      </w:r>
      <w:r>
        <w:rPr>
          <w:rFonts w:hint="eastAsia" w:ascii="宋体" w:hAnsi="宋体" w:eastAsia="宋体" w:cs="宋体"/>
          <w:w w:val="95"/>
          <w:sz w:val="28"/>
          <w:szCs w:val="28"/>
        </w:rPr>
        <w:t>除工频和其他频率的干扰信号，得到有效的二氧化碳浓度信号，</w:t>
      </w:r>
      <w:r>
        <w:rPr>
          <w:rFonts w:hint="eastAsia" w:ascii="宋体" w:hAnsi="宋体" w:eastAsia="宋体" w:cs="宋体"/>
          <w:spacing w:val="25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然后将该信号通过整形电路处理得到方波脉冲信号。</w:t>
      </w:r>
    </w:p>
    <w:p>
      <w:pPr>
        <w:pStyle w:val="2"/>
        <w:spacing w:line="397" w:lineRule="exact"/>
        <w:ind w:left="75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（三）关于材料特征的客体判断</w:t>
      </w:r>
    </w:p>
    <w:p>
      <w:pPr>
        <w:pStyle w:val="2"/>
        <w:spacing w:before="139" w:line="328" w:lineRule="auto"/>
        <w:ind w:right="425" w:firstLine="64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8"/>
          <w:w w:val="95"/>
          <w:sz w:val="28"/>
          <w:szCs w:val="28"/>
        </w:rPr>
        <w:t>对于包含材料特征的产品权利要求，如果仅包含已知材料名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w w:val="95"/>
          <w:sz w:val="28"/>
          <w:szCs w:val="28"/>
        </w:rPr>
        <w:t>称的，可以认为属于实用新型专利保护的客体；如果包含对材料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w w:val="95"/>
          <w:sz w:val="28"/>
          <w:szCs w:val="28"/>
        </w:rPr>
        <w:t>本身改进的，不属于实用新型专利保护的客体。由于物质的组分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7"/>
          <w:w w:val="95"/>
          <w:sz w:val="28"/>
          <w:szCs w:val="28"/>
        </w:rPr>
        <w:t>或配方含量属于材料特征本身的表现形式，因此，若撰写产品权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5"/>
          <w:sz w:val="28"/>
          <w:szCs w:val="28"/>
        </w:rPr>
        <w:t>利要求时需包含类似“采用 50%的 A、40%的 B</w:t>
      </w:r>
      <w:r>
        <w:rPr>
          <w:rFonts w:hint="eastAsia" w:ascii="宋体" w:hAnsi="宋体" w:eastAsia="宋体" w:cs="宋体"/>
          <w:spacing w:val="7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5"/>
          <w:sz w:val="28"/>
          <w:szCs w:val="28"/>
        </w:rPr>
        <w:t>及 10%</w:t>
      </w:r>
      <w:r>
        <w:rPr>
          <w:rFonts w:hint="eastAsia" w:ascii="宋体" w:hAnsi="宋体" w:eastAsia="宋体" w:cs="宋体"/>
          <w:spacing w:val="-1"/>
          <w:w w:val="95"/>
          <w:sz w:val="28"/>
          <w:szCs w:val="28"/>
        </w:rPr>
        <w:t xml:space="preserve">的 </w:t>
      </w:r>
      <w:r>
        <w:rPr>
          <w:rFonts w:hint="eastAsia" w:ascii="宋体" w:hAnsi="宋体" w:eastAsia="宋体" w:cs="宋体"/>
          <w:w w:val="95"/>
          <w:sz w:val="28"/>
          <w:szCs w:val="28"/>
        </w:rPr>
        <w:t>C</w:t>
      </w:r>
      <w:r>
        <w:rPr>
          <w:rFonts w:hint="eastAsia" w:ascii="宋体" w:hAnsi="宋体" w:eastAsia="宋体" w:cs="宋体"/>
          <w:spacing w:val="74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5"/>
          <w:sz w:val="28"/>
          <w:szCs w:val="28"/>
        </w:rPr>
        <w:t>制</w:t>
      </w:r>
      <w:r>
        <w:rPr>
          <w:rFonts w:hint="eastAsia" w:ascii="宋体" w:hAnsi="宋体" w:eastAsia="宋体" w:cs="宋体"/>
          <w:spacing w:val="-68"/>
          <w:w w:val="99"/>
          <w:sz w:val="28"/>
          <w:szCs w:val="28"/>
        </w:rPr>
        <w:t>成”、“在</w:t>
      </w:r>
      <w:r>
        <w:rPr>
          <w:rFonts w:hint="eastAsia" w:ascii="宋体" w:hAnsi="宋体" w:eastAsia="宋体" w:cs="宋体"/>
          <w:spacing w:val="-79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9"/>
          <w:sz w:val="28"/>
          <w:szCs w:val="28"/>
        </w:rPr>
        <w:t>D</w:t>
      </w:r>
      <w:r>
        <w:rPr>
          <w:rFonts w:hint="eastAsia" w:ascii="宋体" w:hAnsi="宋体" w:eastAsia="宋体" w:cs="宋体"/>
          <w:spacing w:val="-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9"/>
          <w:sz w:val="28"/>
          <w:szCs w:val="28"/>
        </w:rPr>
        <w:t>中加入</w:t>
      </w:r>
      <w:r>
        <w:rPr>
          <w:rFonts w:hint="eastAsia" w:ascii="宋体" w:hAnsi="宋体" w:eastAsia="宋体" w:cs="宋体"/>
          <w:spacing w:val="-79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"/>
          <w:w w:val="99"/>
          <w:sz w:val="28"/>
          <w:szCs w:val="28"/>
        </w:rPr>
        <w:t>E</w:t>
      </w:r>
      <w:r>
        <w:rPr>
          <w:rFonts w:hint="eastAsia" w:ascii="宋体" w:hAnsi="宋体" w:eastAsia="宋体" w:cs="宋体"/>
          <w:spacing w:val="-68"/>
          <w:w w:val="99"/>
          <w:sz w:val="28"/>
          <w:szCs w:val="28"/>
        </w:rPr>
        <w:t>”、“包括</w:t>
      </w:r>
      <w:r>
        <w:rPr>
          <w:rFonts w:hint="eastAsia" w:ascii="宋体" w:hAnsi="宋体" w:eastAsia="宋体" w:cs="宋体"/>
          <w:spacing w:val="-79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9"/>
          <w:sz w:val="28"/>
          <w:szCs w:val="28"/>
        </w:rPr>
        <w:t>F</w:t>
      </w:r>
      <w:r>
        <w:rPr>
          <w:rFonts w:hint="eastAsia" w:ascii="宋体" w:hAnsi="宋体" w:eastAsia="宋体" w:cs="宋体"/>
          <w:spacing w:val="-17"/>
          <w:w w:val="99"/>
          <w:sz w:val="28"/>
          <w:szCs w:val="28"/>
        </w:rPr>
        <w:t>、</w:t>
      </w:r>
      <w:r>
        <w:rPr>
          <w:rFonts w:hint="eastAsia" w:ascii="宋体" w:hAnsi="宋体" w:eastAsia="宋体" w:cs="宋体"/>
          <w:w w:val="99"/>
          <w:sz w:val="28"/>
          <w:szCs w:val="28"/>
        </w:rPr>
        <w:t>G</w:t>
      </w:r>
      <w:r>
        <w:rPr>
          <w:rFonts w:hint="eastAsia" w:ascii="宋体" w:hAnsi="宋体" w:eastAsia="宋体" w:cs="宋体"/>
          <w:spacing w:val="-15"/>
          <w:w w:val="99"/>
          <w:sz w:val="28"/>
          <w:szCs w:val="28"/>
        </w:rPr>
        <w:t>、</w:t>
      </w:r>
      <w:r>
        <w:rPr>
          <w:rFonts w:hint="eastAsia" w:ascii="宋体" w:hAnsi="宋体" w:eastAsia="宋体" w:cs="宋体"/>
          <w:w w:val="99"/>
          <w:sz w:val="28"/>
          <w:szCs w:val="28"/>
        </w:rPr>
        <w:t>H</w:t>
      </w:r>
      <w:r>
        <w:rPr>
          <w:rFonts w:hint="eastAsia" w:ascii="宋体" w:hAnsi="宋体" w:eastAsia="宋体" w:cs="宋体"/>
          <w:spacing w:val="-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9"/>
          <w:sz w:val="28"/>
          <w:szCs w:val="28"/>
        </w:rPr>
        <w:t>中的一种或多种</w:t>
      </w:r>
      <w:r>
        <w:rPr>
          <w:rFonts w:hint="eastAsia" w:ascii="宋体" w:hAnsi="宋体" w:eastAsia="宋体" w:cs="宋体"/>
          <w:spacing w:val="-3"/>
          <w:w w:val="99"/>
          <w:sz w:val="28"/>
          <w:szCs w:val="28"/>
        </w:rPr>
        <w:t>/</w:t>
      </w:r>
      <w:r>
        <w:rPr>
          <w:rFonts w:hint="eastAsia" w:ascii="宋体" w:hAnsi="宋体" w:eastAsia="宋体" w:cs="宋体"/>
          <w:w w:val="99"/>
          <w:sz w:val="28"/>
          <w:szCs w:val="28"/>
        </w:rPr>
        <w:t>至少包</w:t>
      </w:r>
    </w:p>
    <w:p>
      <w:pPr>
        <w:spacing w:after="0" w:line="328" w:lineRule="auto"/>
        <w:jc w:val="both"/>
        <w:rPr>
          <w:rFonts w:hint="eastAsia" w:ascii="宋体" w:hAnsi="宋体" w:eastAsia="宋体" w:cs="宋体"/>
          <w:sz w:val="28"/>
          <w:szCs w:val="28"/>
        </w:rPr>
        <w:sectPr>
          <w:pgSz w:w="11900" w:h="16840"/>
          <w:pgMar w:top="1600" w:right="1040" w:bottom="1580" w:left="1480" w:header="0" w:footer="1399" w:gutter="0"/>
          <w:cols w:space="720" w:num="1"/>
        </w:sectPr>
      </w:pPr>
    </w:p>
    <w:p>
      <w:pPr>
        <w:pStyle w:val="2"/>
        <w:ind w:lef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spacing w:before="2"/>
        <w:ind w:lef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spacing w:before="64" w:line="328" w:lineRule="auto"/>
        <w:ind w:right="427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2"/>
          <w:w w:val="95"/>
          <w:sz w:val="28"/>
          <w:szCs w:val="28"/>
        </w:rPr>
        <w:t xml:space="preserve">括 </w:t>
      </w:r>
      <w:r>
        <w:rPr>
          <w:rFonts w:hint="eastAsia" w:ascii="宋体" w:hAnsi="宋体" w:eastAsia="宋体" w:cs="宋体"/>
          <w:w w:val="95"/>
          <w:sz w:val="28"/>
          <w:szCs w:val="28"/>
        </w:rPr>
        <w:t>F、G、H</w:t>
      </w:r>
      <w:r>
        <w:rPr>
          <w:rFonts w:hint="eastAsia" w:ascii="宋体" w:hAnsi="宋体" w:eastAsia="宋体" w:cs="宋体"/>
          <w:spacing w:val="137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5"/>
          <w:sz w:val="28"/>
          <w:szCs w:val="28"/>
        </w:rPr>
        <w:t>中的一种”等有关组分或配方含量的限定，则应当</w:t>
      </w:r>
      <w:r>
        <w:rPr>
          <w:rFonts w:hint="eastAsia" w:ascii="宋体" w:hAnsi="宋体" w:eastAsia="宋体" w:cs="宋体"/>
          <w:sz w:val="28"/>
          <w:szCs w:val="28"/>
        </w:rPr>
        <w:t>明确其为已知的。</w:t>
      </w:r>
    </w:p>
    <w:p>
      <w:pPr>
        <w:pStyle w:val="2"/>
        <w:spacing w:line="328" w:lineRule="auto"/>
        <w:ind w:right="108" w:firstLine="6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如，权利要求请求保护一种空气净化滤芯，其特征在于，包</w:t>
      </w:r>
      <w:r>
        <w:rPr>
          <w:rFonts w:hint="eastAsia" w:ascii="宋体" w:hAnsi="宋体" w:eastAsia="宋体" w:cs="宋体"/>
          <w:spacing w:val="-7"/>
          <w:sz w:val="28"/>
          <w:szCs w:val="28"/>
        </w:rPr>
        <w:t>括由精密陶瓷制成的硬质外壳，以及外壳内由载银活性炭层、负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sz w:val="28"/>
          <w:szCs w:val="28"/>
        </w:rPr>
        <w:t>离子石层、硅藻土层构成的多层复合芯体。其记载了外壳以及复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8"/>
          <w:sz w:val="28"/>
          <w:szCs w:val="28"/>
        </w:rPr>
        <w:t>合芯体各层的具体材料，由于上述材料均为已知材料的名称，不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w w:val="95"/>
          <w:sz w:val="28"/>
          <w:szCs w:val="28"/>
        </w:rPr>
        <w:t>包含对材料本身的改进，可以认为属于实用新型专利保护的客体。</w:t>
      </w:r>
    </w:p>
    <w:p>
      <w:pPr>
        <w:pStyle w:val="2"/>
        <w:spacing w:line="328" w:lineRule="auto"/>
        <w:ind w:right="266" w:firstLine="6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1"/>
          <w:sz w:val="28"/>
          <w:szCs w:val="28"/>
        </w:rPr>
        <w:t>再如，权利要求请求保护一种蚕丝纸尿裤，由与臀部贴合的</w:t>
      </w:r>
      <w:r>
        <w:rPr>
          <w:rFonts w:hint="eastAsia" w:ascii="宋体" w:hAnsi="宋体" w:eastAsia="宋体" w:cs="宋体"/>
          <w:spacing w:val="-7"/>
          <w:sz w:val="28"/>
          <w:szCs w:val="28"/>
        </w:rPr>
        <w:t>主体和连接于主体的腰围松紧带组成，主体包括天然蚕丝无纺布</w:t>
      </w:r>
      <w:r>
        <w:rPr>
          <w:rFonts w:hint="eastAsia" w:ascii="宋体" w:hAnsi="宋体" w:eastAsia="宋体" w:cs="宋体"/>
          <w:w w:val="95"/>
          <w:sz w:val="28"/>
          <w:szCs w:val="28"/>
        </w:rPr>
        <w:t>覆面表层、复合透气底膜以及设置在二者之间的锁水吸收芯体，</w:t>
      </w:r>
      <w:r>
        <w:rPr>
          <w:rFonts w:hint="eastAsia" w:ascii="宋体" w:hAnsi="宋体" w:eastAsia="宋体" w:cs="宋体"/>
          <w:spacing w:val="25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5"/>
          <w:sz w:val="28"/>
          <w:szCs w:val="28"/>
        </w:rPr>
        <w:t>所述锁水吸收芯体由高分子吸水树脂与木浆混合制成。其包含了</w:t>
      </w:r>
      <w:r>
        <w:rPr>
          <w:rFonts w:hint="eastAsia" w:ascii="宋体" w:hAnsi="宋体" w:eastAsia="宋体" w:cs="宋体"/>
          <w:spacing w:val="-9"/>
          <w:sz w:val="28"/>
          <w:szCs w:val="28"/>
        </w:rPr>
        <w:t>锁水吸收芯体的具体材料，如果具有“由高分子吸水树脂与木浆</w:t>
      </w:r>
      <w:r>
        <w:rPr>
          <w:rFonts w:hint="eastAsia" w:ascii="宋体" w:hAnsi="宋体" w:eastAsia="宋体" w:cs="宋体"/>
          <w:spacing w:val="-11"/>
          <w:sz w:val="28"/>
          <w:szCs w:val="28"/>
        </w:rPr>
        <w:t>混合制成”这一组分特征的吸收芯体属于已知材料，则权利要求</w:t>
      </w:r>
      <w:r>
        <w:rPr>
          <w:rFonts w:hint="eastAsia" w:ascii="宋体" w:hAnsi="宋体" w:eastAsia="宋体" w:cs="宋体"/>
          <w:spacing w:val="-7"/>
          <w:sz w:val="28"/>
          <w:szCs w:val="28"/>
        </w:rPr>
        <w:t>可以认为属于实用新型专利保护的客体，如果其是对吸收芯体材</w:t>
      </w:r>
      <w:r>
        <w:rPr>
          <w:rFonts w:hint="eastAsia" w:ascii="宋体" w:hAnsi="宋体" w:eastAsia="宋体" w:cs="宋体"/>
          <w:sz w:val="28"/>
          <w:szCs w:val="28"/>
        </w:rPr>
        <w:t>料本身提出的改进，则不属于实用新型专利保护的客体。</w:t>
      </w:r>
    </w:p>
    <w:p>
      <w:pPr>
        <w:pStyle w:val="2"/>
        <w:spacing w:line="397" w:lineRule="exact"/>
        <w:ind w:left="75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（四）关于食品类申请的客体判断</w:t>
      </w:r>
    </w:p>
    <w:p>
      <w:pPr>
        <w:pStyle w:val="2"/>
        <w:spacing w:before="139" w:line="328" w:lineRule="auto"/>
        <w:ind w:right="427" w:firstLine="64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w w:val="95"/>
          <w:sz w:val="28"/>
          <w:szCs w:val="28"/>
        </w:rPr>
        <w:t>食品类申请是否属于实用新型专利保护客体的判断实质在</w:t>
      </w:r>
      <w:r>
        <w:rPr>
          <w:rFonts w:hint="eastAsia" w:ascii="宋体" w:hAnsi="宋体" w:eastAsia="宋体" w:cs="宋体"/>
          <w:spacing w:val="152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8"/>
          <w:w w:val="95"/>
          <w:sz w:val="28"/>
          <w:szCs w:val="28"/>
        </w:rPr>
        <w:t>于其是否包含了对材料本身的改进，若包含了对材料本身的改进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7"/>
          <w:w w:val="95"/>
          <w:sz w:val="28"/>
          <w:szCs w:val="28"/>
        </w:rPr>
        <w:t>则不属于实用新型专利保护的客体。如，权利要求请求保护一种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w w:val="95"/>
          <w:sz w:val="28"/>
          <w:szCs w:val="28"/>
        </w:rPr>
        <w:t>糕点，通过三层糕层和夹在各层之间的调味层构成，糕层分别由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5"/>
          <w:sz w:val="28"/>
          <w:szCs w:val="28"/>
        </w:rPr>
        <w:t>面粉、玉米粉、糯米粉制成，调味层分别由甜味调味料和咸味调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w w:val="95"/>
          <w:sz w:val="28"/>
          <w:szCs w:val="28"/>
        </w:rPr>
        <w:t>味料制成。其所要解决的问题是提升糕点的口感，虽然其具有层</w:t>
      </w:r>
    </w:p>
    <w:p>
      <w:pPr>
        <w:spacing w:after="0" w:line="328" w:lineRule="auto"/>
        <w:jc w:val="both"/>
        <w:rPr>
          <w:rFonts w:hint="eastAsia" w:ascii="宋体" w:hAnsi="宋体" w:eastAsia="宋体" w:cs="宋体"/>
          <w:sz w:val="28"/>
          <w:szCs w:val="28"/>
        </w:rPr>
        <w:sectPr>
          <w:pgSz w:w="11900" w:h="16840"/>
          <w:pgMar w:top="1600" w:right="1040" w:bottom="1580" w:left="1480" w:header="0" w:footer="1399" w:gutter="0"/>
          <w:cols w:space="720" w:num="1"/>
        </w:sectPr>
      </w:pPr>
    </w:p>
    <w:p>
      <w:pPr>
        <w:pStyle w:val="2"/>
        <w:ind w:lef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spacing w:before="12"/>
        <w:ind w:lef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spacing w:before="54" w:line="328" w:lineRule="auto"/>
        <w:ind w:right="269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2"/>
          <w:sz w:val="28"/>
          <w:szCs w:val="28"/>
        </w:rPr>
        <w:t>状结构特征，但解决上述问题必须依赖于通过对糕层材料及调味</w:t>
      </w:r>
      <w:r>
        <w:rPr>
          <w:rFonts w:hint="eastAsia" w:ascii="宋体" w:hAnsi="宋体" w:eastAsia="宋体" w:cs="宋体"/>
          <w:spacing w:val="-7"/>
          <w:sz w:val="28"/>
          <w:szCs w:val="28"/>
        </w:rPr>
        <w:t>层材料的选择或者组合的改进而实现，因此该权利要求实质上包</w:t>
      </w:r>
      <w:r>
        <w:rPr>
          <w:rFonts w:hint="eastAsia" w:ascii="宋体" w:hAnsi="宋体" w:eastAsia="宋体" w:cs="宋体"/>
          <w:w w:val="95"/>
          <w:sz w:val="28"/>
          <w:szCs w:val="28"/>
        </w:rPr>
        <w:t>含了对材料本身提出的改进，不属于实用新型专利保护的客体。</w:t>
      </w:r>
    </w:p>
    <w:p>
      <w:pPr>
        <w:pStyle w:val="2"/>
        <w:spacing w:line="405" w:lineRule="exact"/>
        <w:ind w:left="747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四、实用新型专利保护客体判断涉及技术方案的常见情形</w:t>
      </w:r>
    </w:p>
    <w:p>
      <w:pPr>
        <w:pStyle w:val="2"/>
        <w:spacing w:before="152" w:line="328" w:lineRule="auto"/>
        <w:ind w:right="427" w:firstLine="64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7"/>
          <w:w w:val="95"/>
          <w:sz w:val="28"/>
          <w:szCs w:val="28"/>
        </w:rPr>
        <w:t>专利法第二条第三款所述的技术方案，是指对要解决的技术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6"/>
          <w:w w:val="95"/>
          <w:sz w:val="28"/>
          <w:szCs w:val="28"/>
        </w:rPr>
        <w:t>问题所采取的利用了自然规律的技术手段的集合。技术手段通常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8"/>
          <w:w w:val="95"/>
          <w:sz w:val="28"/>
          <w:szCs w:val="28"/>
        </w:rPr>
        <w:t>是由技术特征来体现的。未采用技术手段解决技术问题，以获得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8"/>
          <w:w w:val="95"/>
          <w:sz w:val="28"/>
          <w:szCs w:val="28"/>
        </w:rPr>
        <w:t>符合自然规律的技术效果的方案，不属于实用新型专利保护的客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体。</w:t>
      </w:r>
    </w:p>
    <w:p>
      <w:pPr>
        <w:pStyle w:val="2"/>
        <w:spacing w:line="328" w:lineRule="auto"/>
        <w:ind w:right="427" w:firstLine="64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8"/>
          <w:w w:val="95"/>
          <w:sz w:val="28"/>
          <w:szCs w:val="28"/>
        </w:rPr>
        <w:t>产品的形状以及表面的图案、色彩或者其结合的新方案，没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0"/>
          <w:w w:val="95"/>
          <w:sz w:val="28"/>
          <w:szCs w:val="28"/>
        </w:rPr>
        <w:t>有解决技术问题的，不属于实用新型专利保护的客体。产品表面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5"/>
          <w:sz w:val="28"/>
          <w:szCs w:val="28"/>
        </w:rPr>
        <w:t>的文字、符号、图表或者其结合的新方案，不属于实用新型专利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5"/>
          <w:sz w:val="28"/>
          <w:szCs w:val="28"/>
        </w:rPr>
        <w:t>保护的客体。例如，仅改变按键表面文字、符号的计算机或手机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w w:val="95"/>
          <w:sz w:val="28"/>
          <w:szCs w:val="28"/>
        </w:rPr>
        <w:t>键盘；以十二生肖形状为装饰的开罐刀；仅以表面图案设计为区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别特征的棋类、牌类，如古诗扑克等。</w:t>
      </w:r>
    </w:p>
    <w:p>
      <w:pPr>
        <w:pStyle w:val="2"/>
        <w:spacing w:line="400" w:lineRule="exact"/>
        <w:ind w:left="747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实用新型专利保护客体判断涉及技术方案的常见情形如下。</w:t>
      </w:r>
    </w:p>
    <w:p>
      <w:pPr>
        <w:pStyle w:val="2"/>
        <w:spacing w:before="144"/>
        <w:ind w:left="75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（一）关于与表面图案、色彩结合方案的客体判断</w:t>
      </w:r>
    </w:p>
    <w:p>
      <w:pPr>
        <w:pStyle w:val="2"/>
        <w:spacing w:before="147" w:line="328" w:lineRule="auto"/>
        <w:ind w:right="108" w:firstLine="6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0"/>
          <w:sz w:val="28"/>
          <w:szCs w:val="28"/>
        </w:rPr>
        <w:t>产品表面的图案、色彩或者其结合的新方案，没有解决技术问</w:t>
      </w:r>
      <w:r>
        <w:rPr>
          <w:rFonts w:hint="eastAsia" w:ascii="宋体" w:hAnsi="宋体" w:eastAsia="宋体" w:cs="宋体"/>
          <w:sz w:val="28"/>
          <w:szCs w:val="28"/>
        </w:rPr>
        <w:t>题的，不属于实用新型专利保护的客体。如，权利要求请求保护</w:t>
      </w:r>
      <w:r>
        <w:rPr>
          <w:rFonts w:hint="eastAsia" w:ascii="宋体" w:hAnsi="宋体" w:eastAsia="宋体" w:cs="宋体"/>
          <w:spacing w:val="-10"/>
          <w:sz w:val="28"/>
          <w:szCs w:val="28"/>
        </w:rPr>
        <w:t xml:space="preserve">一种国风雨衣，在雨衣的适当位置印制国风元素图案。在雨衣 </w:t>
      </w:r>
      <w:r>
        <w:rPr>
          <w:rFonts w:hint="eastAsia" w:ascii="宋体" w:hAnsi="宋体" w:eastAsia="宋体" w:cs="宋体"/>
          <w:w w:val="95"/>
          <w:sz w:val="28"/>
          <w:szCs w:val="28"/>
        </w:rPr>
        <w:t>表</w:t>
      </w:r>
      <w:r>
        <w:rPr>
          <w:rFonts w:hint="eastAsia" w:ascii="宋体" w:hAnsi="宋体" w:eastAsia="宋体" w:cs="宋体"/>
          <w:spacing w:val="-6"/>
          <w:w w:val="95"/>
          <w:sz w:val="28"/>
          <w:szCs w:val="28"/>
        </w:rPr>
        <w:t xml:space="preserve">面设置图案的目的是以雨衣为传统文化的传播媒介，表达个性、 </w:t>
      </w:r>
      <w:r>
        <w:rPr>
          <w:rFonts w:hint="eastAsia" w:ascii="宋体" w:hAnsi="宋体" w:eastAsia="宋体" w:cs="宋体"/>
          <w:sz w:val="28"/>
          <w:szCs w:val="28"/>
        </w:rPr>
        <w:t>美观，没有解决技术问题，不属于实用新型专利保护的客体。而</w:t>
      </w:r>
    </w:p>
    <w:p>
      <w:pPr>
        <w:spacing w:after="0" w:line="328" w:lineRule="auto"/>
        <w:rPr>
          <w:rFonts w:hint="eastAsia" w:ascii="宋体" w:hAnsi="宋体" w:eastAsia="宋体" w:cs="宋体"/>
          <w:sz w:val="28"/>
          <w:szCs w:val="28"/>
        </w:rPr>
        <w:sectPr>
          <w:pgSz w:w="11900" w:h="16840"/>
          <w:pgMar w:top="1600" w:right="1040" w:bottom="1580" w:left="1480" w:header="0" w:footer="1399" w:gutter="0"/>
          <w:cols w:space="720" w:num="1"/>
        </w:sectPr>
      </w:pPr>
    </w:p>
    <w:p>
      <w:pPr>
        <w:pStyle w:val="2"/>
        <w:ind w:lef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spacing w:before="12"/>
        <w:ind w:lef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spacing w:before="54" w:line="328" w:lineRule="auto"/>
        <w:ind w:right="427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w w:val="95"/>
          <w:sz w:val="28"/>
          <w:szCs w:val="28"/>
        </w:rPr>
        <w:t>如，权利要求请求保护一种安全雨衣，其特征在于，雨衣的前胸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0"/>
          <w:w w:val="95"/>
          <w:sz w:val="28"/>
          <w:szCs w:val="28"/>
        </w:rPr>
        <w:t>及后背位置设置荧光图案。通过荧光图案在光线不足环境中的警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w w:val="95"/>
          <w:sz w:val="28"/>
          <w:szCs w:val="28"/>
        </w:rPr>
        <w:t>示作用，解决了提高行人雨天出行安全性的技术问题，该技术方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案属于实用新型专利保护的客体。</w:t>
      </w:r>
    </w:p>
    <w:p>
      <w:pPr>
        <w:pStyle w:val="2"/>
        <w:spacing w:line="407" w:lineRule="exact"/>
        <w:ind w:left="75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（二）关于以美感为目的方案的客体判断</w:t>
      </w:r>
    </w:p>
    <w:p>
      <w:pPr>
        <w:pStyle w:val="2"/>
        <w:spacing w:before="147" w:line="328" w:lineRule="auto"/>
        <w:ind w:right="106" w:firstLine="6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7"/>
          <w:w w:val="95"/>
          <w:sz w:val="28"/>
          <w:szCs w:val="28"/>
        </w:rPr>
        <w:t>仅以美感为目的对产品形状改进的方案，没有解决技术问题，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7"/>
          <w:sz w:val="28"/>
          <w:szCs w:val="28"/>
        </w:rPr>
        <w:t>不属于实用新型专利保护的客体。例如，为了美观将垃圾桶的外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形制成熊猫形的方案，不属于实用新型专利保护的客体。</w:t>
      </w:r>
    </w:p>
    <w:p>
      <w:pPr>
        <w:pStyle w:val="2"/>
        <w:spacing w:line="328" w:lineRule="auto"/>
        <w:ind w:right="427" w:firstLine="64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7"/>
          <w:w w:val="95"/>
          <w:sz w:val="28"/>
          <w:szCs w:val="28"/>
        </w:rPr>
        <w:t>如果对产品形状进行改进的方案，不仅以美感为目的，而且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7"/>
          <w:w w:val="95"/>
          <w:sz w:val="28"/>
          <w:szCs w:val="28"/>
        </w:rPr>
        <w:t>客观上利用了符合自然规律的技术手段，解决了技术问题，产生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5"/>
          <w:sz w:val="28"/>
          <w:szCs w:val="28"/>
        </w:rPr>
        <w:t>了技术效果，可以认为属于实用新型专利保护的客体。如，流线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w w:val="95"/>
          <w:sz w:val="28"/>
          <w:szCs w:val="28"/>
        </w:rPr>
        <w:t>形轿车，其形状改进不仅有美观的作用，也更好地克服汽车在行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w w:val="95"/>
          <w:sz w:val="28"/>
          <w:szCs w:val="28"/>
        </w:rPr>
        <w:t>驶过程中的风阻，解决了技术问题，可以认为属于实用新型专利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保护的客体。</w:t>
      </w:r>
    </w:p>
    <w:p>
      <w:pPr>
        <w:pStyle w:val="2"/>
        <w:spacing w:line="400" w:lineRule="exact"/>
        <w:ind w:left="747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五、有关客体判断的实用新型专利申请和答复注意事项</w:t>
      </w:r>
    </w:p>
    <w:p>
      <w:pPr>
        <w:pStyle w:val="2"/>
        <w:spacing w:before="147"/>
        <w:ind w:left="75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（一）选择合适的专利类型</w:t>
      </w:r>
    </w:p>
    <w:p>
      <w:pPr>
        <w:pStyle w:val="2"/>
        <w:spacing w:before="149" w:line="328" w:lineRule="auto"/>
        <w:ind w:right="269" w:firstLine="64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8"/>
          <w:sz w:val="28"/>
          <w:szCs w:val="28"/>
        </w:rPr>
        <w:t>对于一项发明创造的专利保护，应选择合适的专利类型。由</w:t>
      </w:r>
      <w:r>
        <w:rPr>
          <w:rFonts w:hint="eastAsia" w:ascii="宋体" w:hAnsi="宋体" w:eastAsia="宋体" w:cs="宋体"/>
          <w:sz w:val="28"/>
          <w:szCs w:val="28"/>
        </w:rPr>
        <w:t>于实用新型专利仅保护产品，对于实质上包含方法/材料改进的</w:t>
      </w:r>
      <w:r>
        <w:rPr>
          <w:rFonts w:hint="eastAsia" w:ascii="宋体" w:hAnsi="宋体" w:eastAsia="宋体" w:cs="宋体"/>
          <w:spacing w:val="-11"/>
          <w:sz w:val="28"/>
          <w:szCs w:val="28"/>
        </w:rPr>
        <w:t>技术方案，无法采用实用新型专利进行保护，可以考虑申请发明专利。对于单纯以美感为目的的申请，无法采用实用新型专利进</w:t>
      </w:r>
      <w:r>
        <w:rPr>
          <w:rFonts w:hint="eastAsia" w:ascii="宋体" w:hAnsi="宋体" w:eastAsia="宋体" w:cs="宋体"/>
          <w:spacing w:val="-18"/>
          <w:w w:val="95"/>
          <w:sz w:val="28"/>
          <w:szCs w:val="28"/>
        </w:rPr>
        <w:t>行保护，符合外观设计相关要求的，可以考虑申请外观设计专利。</w:t>
      </w:r>
    </w:p>
    <w:p>
      <w:pPr>
        <w:spacing w:after="0" w:line="328" w:lineRule="auto"/>
        <w:jc w:val="both"/>
        <w:rPr>
          <w:rFonts w:hint="eastAsia" w:ascii="宋体" w:hAnsi="宋体" w:eastAsia="宋体" w:cs="宋体"/>
          <w:sz w:val="28"/>
          <w:szCs w:val="28"/>
        </w:rPr>
        <w:sectPr>
          <w:footerReference r:id="rId6" w:type="default"/>
          <w:pgSz w:w="11900" w:h="16840"/>
          <w:pgMar w:top="1600" w:right="1040" w:bottom="1580" w:left="1480" w:header="0" w:footer="1399" w:gutter="0"/>
          <w:cols w:space="720" w:num="1"/>
        </w:sectPr>
      </w:pPr>
    </w:p>
    <w:p>
      <w:pPr>
        <w:pStyle w:val="2"/>
        <w:ind w:lef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spacing w:before="1"/>
        <w:ind w:lef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spacing w:before="55"/>
        <w:ind w:left="75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（二）与客体判断有关的权利要求的撰写</w:t>
      </w:r>
    </w:p>
    <w:p>
      <w:pPr>
        <w:pStyle w:val="2"/>
        <w:spacing w:before="149" w:line="328" w:lineRule="auto"/>
        <w:ind w:right="106" w:firstLine="6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实用新型专利保护客体的审查对象是全部权利要求，因此，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9"/>
          <w:sz w:val="28"/>
          <w:szCs w:val="28"/>
        </w:rPr>
        <w:t>在撰写实用新型专利申请时，对独立权利要求和从属权利要求应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w w:val="95"/>
          <w:sz w:val="28"/>
          <w:szCs w:val="28"/>
        </w:rPr>
        <w:t>予以同样的关注，如果独立权利要求属于实用新型专利保护客体，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6"/>
          <w:sz w:val="28"/>
          <w:szCs w:val="28"/>
        </w:rPr>
        <w:t>但从属权利要求不属于实用新型专利保护客体时，该申请也不能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授予实用新型专利权。</w:t>
      </w:r>
    </w:p>
    <w:p>
      <w:pPr>
        <w:pStyle w:val="2"/>
        <w:spacing w:line="402" w:lineRule="exact"/>
        <w:ind w:left="75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（三）与客体判断有关的答复或修改注意事项</w:t>
      </w:r>
    </w:p>
    <w:p>
      <w:pPr>
        <w:pStyle w:val="2"/>
        <w:spacing w:before="149" w:line="328" w:lineRule="auto"/>
        <w:ind w:right="106" w:firstLine="6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在答复涉及实用新型专利保护客体的相关审查意见时要注</w:t>
      </w:r>
      <w:r>
        <w:rPr>
          <w:rFonts w:hint="eastAsia" w:ascii="宋体" w:hAnsi="宋体" w:eastAsia="宋体" w:cs="宋体"/>
          <w:spacing w:val="49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sz w:val="28"/>
          <w:szCs w:val="28"/>
        </w:rPr>
        <w:t>意答复和修改方式，既要针对审查意见通知书指出的缺陷进行答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2"/>
          <w:sz w:val="28"/>
          <w:szCs w:val="28"/>
        </w:rPr>
        <w:t>复，也要注意不要引起新的问题。由于实用新型专利保护客体的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11"/>
          <w:sz w:val="28"/>
          <w:szCs w:val="28"/>
        </w:rPr>
        <w:t>审查对象是权利要求，仅对说明书进行修改通常无法克服权利要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7"/>
          <w:w w:val="95"/>
          <w:sz w:val="28"/>
          <w:szCs w:val="28"/>
        </w:rPr>
        <w:t>求不属于实用新型专利保护客体的缺陷。对权利要求的简单合并、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表述方式的变换等不具有实质性的修改也无法克服权利要求不</w:t>
      </w:r>
      <w:r>
        <w:rPr>
          <w:rFonts w:hint="eastAsia" w:ascii="宋体" w:hAnsi="宋体" w:eastAsia="宋体" w:cs="宋体"/>
          <w:spacing w:val="49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8"/>
          <w:sz w:val="28"/>
          <w:szCs w:val="28"/>
        </w:rPr>
        <w:t>属于实用新型专利保护客体的缺陷。简单删除独立权利要求中不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属于实用新型专利保护客体的技术特征可能会导致修改后的权</w:t>
      </w:r>
      <w:r>
        <w:rPr>
          <w:rFonts w:hint="eastAsia" w:ascii="宋体" w:hAnsi="宋体" w:eastAsia="宋体" w:cs="宋体"/>
          <w:spacing w:val="49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9"/>
          <w:sz w:val="28"/>
          <w:szCs w:val="28"/>
        </w:rPr>
        <w:t>利要求超出原始申请记载范围，引起不符合专利法第三十三条规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定的新问题。</w:t>
      </w:r>
    </w:p>
    <w:p>
      <w:pPr>
        <w:pStyle w:val="2"/>
        <w:spacing w:line="392" w:lineRule="exact"/>
        <w:ind w:left="747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5"/>
          <w:sz w:val="28"/>
          <w:szCs w:val="28"/>
        </w:rPr>
        <w:t>在答复涉及组合物等材料是否为已知材料的审查意见时，应</w:t>
      </w:r>
    </w:p>
    <w:p>
      <w:pPr>
        <w:pStyle w:val="2"/>
        <w:spacing w:before="149" w:line="328" w:lineRule="auto"/>
        <w:ind w:right="425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w w:val="95"/>
          <w:sz w:val="28"/>
          <w:szCs w:val="28"/>
        </w:rPr>
        <w:t>当通过充分陈述理由或举证的方式说明本申请中特定组合物及</w:t>
      </w:r>
      <w:r>
        <w:rPr>
          <w:rFonts w:hint="eastAsia" w:ascii="宋体" w:hAnsi="宋体" w:eastAsia="宋体" w:cs="宋体"/>
          <w:spacing w:val="16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2"/>
          <w:w w:val="99"/>
          <w:sz w:val="28"/>
          <w:szCs w:val="28"/>
        </w:rPr>
        <w:t>其所包含的各组分（及其配比</w:t>
      </w:r>
      <w:r>
        <w:rPr>
          <w:rFonts w:hint="eastAsia" w:ascii="宋体" w:hAnsi="宋体" w:eastAsia="宋体" w:cs="宋体"/>
          <w:spacing w:val="-159"/>
          <w:w w:val="99"/>
          <w:sz w:val="28"/>
          <w:szCs w:val="28"/>
        </w:rPr>
        <w:t>）</w:t>
      </w:r>
      <w:r>
        <w:rPr>
          <w:rFonts w:hint="eastAsia" w:ascii="宋体" w:hAnsi="宋体" w:eastAsia="宋体" w:cs="宋体"/>
          <w:spacing w:val="1"/>
          <w:w w:val="99"/>
          <w:sz w:val="28"/>
          <w:szCs w:val="28"/>
        </w:rPr>
        <w:t>，整体为已知材料，而不是简单</w:t>
      </w:r>
      <w:r>
        <w:rPr>
          <w:rFonts w:hint="eastAsia" w:ascii="宋体" w:hAnsi="宋体" w:eastAsia="宋体" w:cs="宋体"/>
          <w:sz w:val="28"/>
          <w:szCs w:val="28"/>
        </w:rPr>
        <w:t>说明本申请中特定组合物的各组分是已知的。</w:t>
      </w:r>
    </w:p>
    <w:p>
      <w:pPr>
        <w:pStyle w:val="2"/>
        <w:spacing w:line="405" w:lineRule="exact"/>
        <w:ind w:left="747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6"/>
          <w:sz w:val="28"/>
          <w:szCs w:val="28"/>
        </w:rPr>
        <w:t>在答复涉及计算机程序是否为已知的审查意见时，应当将该</w:t>
      </w:r>
    </w:p>
    <w:p>
      <w:pPr>
        <w:spacing w:after="0" w:line="405" w:lineRule="exact"/>
        <w:rPr>
          <w:rFonts w:hint="eastAsia" w:ascii="宋体" w:hAnsi="宋体" w:eastAsia="宋体" w:cs="宋体"/>
          <w:sz w:val="28"/>
          <w:szCs w:val="28"/>
        </w:rPr>
        <w:sectPr>
          <w:pgSz w:w="11900" w:h="16840"/>
          <w:pgMar w:top="1600" w:right="1040" w:bottom="1580" w:left="1480" w:header="0" w:footer="1399" w:gutter="0"/>
          <w:cols w:space="720" w:num="1"/>
        </w:sectPr>
      </w:pPr>
    </w:p>
    <w:p>
      <w:pPr>
        <w:pStyle w:val="2"/>
        <w:ind w:lef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spacing w:before="12"/>
        <w:ind w:lef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spacing w:before="54" w:line="328" w:lineRule="auto"/>
        <w:ind w:right="427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0"/>
          <w:w w:val="95"/>
          <w:sz w:val="28"/>
          <w:szCs w:val="28"/>
        </w:rPr>
        <w:t>计算机程序视为一个整体，通过充分陈述理由或举证的方式说明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6"/>
          <w:w w:val="95"/>
          <w:sz w:val="28"/>
          <w:szCs w:val="28"/>
        </w:rPr>
        <w:t>包含了其完整执行逻辑的计算机程序为已知，而不是将注意力集</w:t>
      </w:r>
      <w:r>
        <w:rPr>
          <w:rFonts w:hint="eastAsia" w:ascii="宋体" w:hAnsi="宋体" w:eastAsia="宋体" w:cs="宋体"/>
          <w:spacing w:val="1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5"/>
          <w:sz w:val="28"/>
          <w:szCs w:val="28"/>
        </w:rPr>
        <w:t>中在该计算机程序的每一条指令或者实现某一功能的程序指令</w:t>
      </w:r>
      <w:r>
        <w:rPr>
          <w:rFonts w:hint="eastAsia" w:ascii="宋体" w:hAnsi="宋体" w:eastAsia="宋体" w:cs="宋体"/>
          <w:spacing w:val="16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集合是否为已知上。</w:t>
      </w:r>
    </w:p>
    <w:p>
      <w:pPr>
        <w:pStyle w:val="2"/>
        <w:spacing w:before="3"/>
        <w:ind w:lef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ind w:left="747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参考文献</w:t>
      </w:r>
    </w:p>
    <w:p>
      <w:pPr>
        <w:pStyle w:val="7"/>
        <w:numPr>
          <w:ilvl w:val="0"/>
          <w:numId w:val="1"/>
        </w:numPr>
        <w:tabs>
          <w:tab w:val="left" w:pos="1124"/>
        </w:tabs>
        <w:spacing w:before="150" w:after="0" w:line="240" w:lineRule="auto"/>
        <w:ind w:left="1123" w:right="0" w:hanging="377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4"/>
          <w:sz w:val="28"/>
          <w:szCs w:val="28"/>
        </w:rPr>
        <w:t xml:space="preserve">国家知识产权局，《专利审查指南 </w:t>
      </w:r>
      <w:r>
        <w:rPr>
          <w:rFonts w:hint="eastAsia" w:ascii="宋体" w:hAnsi="宋体" w:eastAsia="宋体" w:cs="宋体"/>
          <w:sz w:val="28"/>
          <w:szCs w:val="28"/>
        </w:rPr>
        <w:t>2010（2019</w:t>
      </w:r>
      <w:r>
        <w:rPr>
          <w:rFonts w:hint="eastAsia" w:ascii="宋体" w:hAnsi="宋体" w:eastAsia="宋体" w:cs="宋体"/>
          <w:spacing w:val="7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年修订</w:t>
      </w:r>
      <w:r>
        <w:rPr>
          <w:rFonts w:hint="eastAsia" w:ascii="宋体" w:hAnsi="宋体" w:eastAsia="宋体" w:cs="宋体"/>
          <w:spacing w:val="-161"/>
          <w:sz w:val="28"/>
          <w:szCs w:val="28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》</w:t>
      </w:r>
    </w:p>
    <w:p>
      <w:pPr>
        <w:pStyle w:val="2"/>
        <w:spacing w:before="15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w w:val="95"/>
          <w:sz w:val="28"/>
          <w:szCs w:val="28"/>
        </w:rPr>
        <w:t>[M].北京：知识产权出版社有限责任公司，2020</w:t>
      </w:r>
      <w:r>
        <w:rPr>
          <w:rFonts w:hint="eastAsia" w:ascii="宋体" w:hAnsi="宋体" w:eastAsia="宋体" w:cs="宋体"/>
          <w:spacing w:val="81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8"/>
          <w:w w:val="95"/>
          <w:sz w:val="28"/>
          <w:szCs w:val="28"/>
        </w:rPr>
        <w:t xml:space="preserve">年 </w:t>
      </w:r>
      <w:r>
        <w:rPr>
          <w:rFonts w:hint="eastAsia" w:ascii="宋体" w:hAnsi="宋体" w:eastAsia="宋体" w:cs="宋体"/>
          <w:w w:val="95"/>
          <w:sz w:val="28"/>
          <w:szCs w:val="28"/>
        </w:rPr>
        <w:t>3</w:t>
      </w:r>
      <w:r>
        <w:rPr>
          <w:rFonts w:hint="eastAsia" w:ascii="宋体" w:hAnsi="宋体" w:eastAsia="宋体" w:cs="宋体"/>
          <w:spacing w:val="86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5"/>
          <w:sz w:val="28"/>
          <w:szCs w:val="28"/>
        </w:rPr>
        <w:t>月</w:t>
      </w:r>
    </w:p>
    <w:p>
      <w:pPr>
        <w:pStyle w:val="7"/>
        <w:numPr>
          <w:ilvl w:val="0"/>
          <w:numId w:val="1"/>
        </w:numPr>
        <w:tabs>
          <w:tab w:val="left" w:pos="1124"/>
        </w:tabs>
        <w:spacing w:before="149" w:after="0" w:line="326" w:lineRule="auto"/>
        <w:ind w:left="106" w:right="427" w:firstLine="64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国家知识产权局</w:t>
      </w:r>
      <w:r>
        <w:rPr>
          <w:rFonts w:hint="eastAsia" w:ascii="宋体" w:hAnsi="宋体" w:eastAsia="宋体" w:cs="宋体"/>
          <w:spacing w:val="-21"/>
          <w:sz w:val="28"/>
          <w:szCs w:val="28"/>
        </w:rPr>
        <w:t>，《审查操作规程实用新型分册》</w:t>
      </w:r>
      <w:r>
        <w:rPr>
          <w:rFonts w:hint="eastAsia" w:ascii="宋体" w:hAnsi="宋体" w:eastAsia="宋体" w:cs="宋体"/>
          <w:sz w:val="28"/>
          <w:szCs w:val="28"/>
        </w:rPr>
        <w:t>[M</w:t>
      </w:r>
      <w:r>
        <w:rPr>
          <w:rFonts w:hint="eastAsia" w:ascii="宋体" w:hAnsi="宋体" w:eastAsia="宋体" w:cs="宋体"/>
          <w:spacing w:val="22"/>
          <w:sz w:val="28"/>
          <w:szCs w:val="28"/>
        </w:rPr>
        <w:t xml:space="preserve">]. </w:t>
      </w:r>
      <w:r>
        <w:rPr>
          <w:rFonts w:hint="eastAsia" w:ascii="宋体" w:hAnsi="宋体" w:eastAsia="宋体" w:cs="宋体"/>
          <w:sz w:val="28"/>
          <w:szCs w:val="28"/>
        </w:rPr>
        <w:t>北</w:t>
      </w:r>
      <w:r>
        <w:rPr>
          <w:rFonts w:hint="eastAsia" w:ascii="宋体" w:hAnsi="宋体" w:eastAsia="宋体" w:cs="宋体"/>
          <w:w w:val="95"/>
          <w:sz w:val="28"/>
          <w:szCs w:val="28"/>
        </w:rPr>
        <w:t>京：知识产权出版社，2011</w:t>
      </w:r>
      <w:r>
        <w:rPr>
          <w:rFonts w:hint="eastAsia" w:ascii="宋体" w:hAnsi="宋体" w:eastAsia="宋体" w:cs="宋体"/>
          <w:spacing w:val="8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34"/>
          <w:w w:val="95"/>
          <w:sz w:val="28"/>
          <w:szCs w:val="28"/>
        </w:rPr>
        <w:t xml:space="preserve">年 </w:t>
      </w:r>
      <w:r>
        <w:rPr>
          <w:rFonts w:hint="eastAsia" w:ascii="宋体" w:hAnsi="宋体" w:eastAsia="宋体" w:cs="宋体"/>
          <w:w w:val="95"/>
          <w:sz w:val="28"/>
          <w:szCs w:val="28"/>
        </w:rPr>
        <w:t>2</w:t>
      </w:r>
      <w:r>
        <w:rPr>
          <w:rFonts w:hint="eastAsia" w:ascii="宋体" w:hAnsi="宋体" w:eastAsia="宋体" w:cs="宋体"/>
          <w:spacing w:val="6"/>
          <w:w w:val="95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w w:val="95"/>
          <w:sz w:val="28"/>
          <w:szCs w:val="28"/>
        </w:rPr>
        <w:t>月</w:t>
      </w:r>
    </w:p>
    <w:sectPr>
      <w:pgSz w:w="11900" w:h="16840"/>
      <w:pgMar w:top="1600" w:right="1040" w:bottom="1580" w:left="1480" w:header="0" w:footer="139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ind w:left="0"/>
      <w:rPr>
        <w:sz w:val="20"/>
      </w:rPr>
    </w:pPr>
    <w:r>
      <w:pict>
        <v:shape id="_x0000_s2049" o:spid="_x0000_s2049" o:spt="202" type="#_x0000_t202" style="position:absolute;left:0pt;margin-left:274.95pt;margin-top:761.05pt;height:16.05pt;width:54.1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321" w:lineRule="exact"/>
                  <w:ind w:left="20" w:right="0" w:firstLine="0"/>
                  <w:jc w:val="left"/>
                  <w:rPr>
                    <w:sz w:val="28"/>
                  </w:rPr>
                </w:pPr>
                <w:r>
                  <w:rPr>
                    <w:sz w:val="28"/>
                  </w:rPr>
                  <w:t>—</w:t>
                </w:r>
                <w:r>
                  <w:rPr>
                    <w:spacing w:val="-1"/>
                    <w:sz w:val="28"/>
                  </w:rPr>
                  <w:t xml:space="preserve"> </w:t>
                </w:r>
                <w:r>
                  <w:fldChar w:fldCharType="begin"/>
                </w:r>
                <w:r>
                  <w:rPr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spacing w:val="1"/>
                    <w:sz w:val="28"/>
                  </w:rPr>
                  <w:t xml:space="preserve"> </w:t>
                </w:r>
                <w:r>
                  <w:rPr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ind w:left="0"/>
      <w:rPr>
        <w:sz w:val="20"/>
      </w:rPr>
    </w:pPr>
    <w:r>
      <w:pict>
        <v:shape id="_x0000_s2050" o:spid="_x0000_s2050" o:spt="202" type="#_x0000_t202" style="position:absolute;left:0pt;margin-left:271.35pt;margin-top:761.05pt;height:16.05pt;width:61.2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321" w:lineRule="exact"/>
                  <w:ind w:left="20" w:right="0" w:firstLine="0"/>
                  <w:jc w:val="left"/>
                  <w:rPr>
                    <w:sz w:val="28"/>
                  </w:rPr>
                </w:pPr>
                <w:r>
                  <w:rPr>
                    <w:sz w:val="28"/>
                  </w:rPr>
                  <w:t>—</w:t>
                </w:r>
                <w:r>
                  <w:rPr>
                    <w:spacing w:val="-1"/>
                    <w:sz w:val="28"/>
                  </w:rPr>
                  <w:t xml:space="preserve"> </w:t>
                </w:r>
                <w:r>
                  <w:fldChar w:fldCharType="begin"/>
                </w:r>
                <w:r>
                  <w:rPr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spacing w:val="1"/>
                    <w:sz w:val="28"/>
                  </w:rPr>
                  <w:t xml:space="preserve"> </w:t>
                </w:r>
                <w:r>
                  <w:rPr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[%1]"/>
      <w:lvlJc w:val="left"/>
      <w:pPr>
        <w:ind w:left="1123" w:hanging="377"/>
        <w:jc w:val="left"/>
      </w:pPr>
      <w:rPr>
        <w:rFonts w:hint="default" w:ascii="Times New Roman" w:hAnsi="Times New Roman" w:eastAsia="Times New Roman" w:cs="Times New Roman"/>
        <w:spacing w:val="-1"/>
        <w:w w:val="99"/>
        <w:sz w:val="30"/>
        <w:szCs w:val="30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946" w:hanging="377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772" w:hanging="377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598" w:hanging="377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424" w:hanging="377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250" w:hanging="377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6076" w:hanging="377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902" w:hanging="377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728" w:hanging="377"/>
      </w:pPr>
      <w:rPr>
        <w:rFonts w:hint="default"/>
        <w:lang w:val="en-US" w:eastAsia="zh-CN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4"/>
  </w:compat>
  <w:docVars>
    <w:docVar w:name="commondata" w:val="eyJoZGlkIjoiN2NjZDRmNzVhMzliNzJlNTc4YjdjNzdmNzJlYTEzNzgifQ=="/>
  </w:docVars>
  <w:rsids>
    <w:rsidRoot w:val="00000000"/>
    <w:rsid w:val="04193ADF"/>
    <w:rsid w:val="7DE845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6"/>
    </w:pPr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3">
    <w:name w:val="Title"/>
    <w:basedOn w:val="1"/>
    <w:qFormat/>
    <w:uiPriority w:val="1"/>
    <w:pPr>
      <w:spacing w:before="56"/>
      <w:ind w:left="785"/>
    </w:pPr>
    <w:rPr>
      <w:rFonts w:ascii="宋体" w:hAnsi="宋体" w:eastAsia="宋体" w:cs="宋体"/>
      <w:sz w:val="44"/>
      <w:szCs w:val="44"/>
      <w:lang w:val="en-US" w:eastAsia="zh-CN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spacing w:before="149"/>
      <w:ind w:left="106" w:hanging="377"/>
    </w:pPr>
    <w:rPr>
      <w:rFonts w:ascii="宋体" w:hAnsi="宋体" w:eastAsia="宋体" w:cs="宋体"/>
      <w:lang w:val="en-US" w:eastAsia="zh-CN" w:bidi="ar-SA"/>
    </w:rPr>
  </w:style>
  <w:style w:type="paragraph" w:customStyle="1" w:styleId="8">
    <w:name w:val="Table Paragraph"/>
    <w:basedOn w:val="1"/>
    <w:qFormat/>
    <w:uiPriority w:val="1"/>
    <w:rPr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ScaleCrop>false</ScaleCrop>
  <LinksUpToDate>false</LinksUpToDate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2023-11-07T03:12:00Z</dcterms:created>
  <dc:creator>Administrator.PC-20170516KLDU</dc:creator>
  <cp:lastModifiedBy>WPS_1685261862</cp:lastModifiedBy>
  <dcterms:modified xsi:type="dcterms:W3CDTF">2023-11-07T03:16:04Z</dcterms:modified>
  <dc:title>关于实用新型专利保护客体判断的指引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2023-10-31T00:00:00Z</vt:filetime>
  </property>
  <property fmtid="{D5CDD505-2E9C-101B-9397-08002B2CF9AE}" pid="3" name="Creator">
    <vt:lpwstr>PDFCreator 2.1.0.0</vt:lpwstr>
  </property>
  <property fmtid="{D5CDD505-2E9C-101B-9397-08002B2CF9AE}" pid="4" name="LastSaved">
    <vt:filetime>2023-11-07T00:00:00Z</vt:filetime>
  </property>
  <property fmtid="{D5CDD505-2E9C-101B-9397-08002B2CF9AE}" pid="5" name="KSOProductBuildVer">
    <vt:lpwstr>2052-12.1.0.15712</vt:lpwstr>
  </property>
  <property fmtid="{D5CDD505-2E9C-101B-9397-08002B2CF9AE}" pid="6" name="ICV">
    <vt:lpwstr>FA30CE8B166E41168C811D411168D180_13</vt:lpwstr>
  </property>
</Properties>
</file>